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6739E22" w14:textId="77777777" w:rsidR="00A84B7B" w:rsidRPr="00A84B7B" w:rsidRDefault="00A84B7B" w:rsidP="00A84B7B">
      <w:pPr>
        <w:spacing w:after="0" w:line="240" w:lineRule="auto"/>
        <w:ind w:right="1469"/>
        <w:rPr>
          <w:rFonts w:ascii="Century Gothic" w:hAnsi="Century Gothic" w:cs="Arial"/>
          <w:b/>
          <w:bCs/>
          <w:color w:val="000000" w:themeColor="text1"/>
          <w:sz w:val="32"/>
          <w:szCs w:val="32"/>
          <w:lang w:val="es"/>
        </w:rPr>
      </w:pPr>
      <w:bookmarkStart w:id="0" w:name="_heading=h.fjl4gfrp1l9p" w:colFirst="0" w:colLast="0"/>
      <w:bookmarkEnd w:id="0"/>
      <w:r w:rsidRPr="00A84B7B">
        <w:rPr>
          <w:rFonts w:ascii="Century Gothic" w:hAnsi="Century Gothic" w:cs="Arial"/>
          <w:b/>
          <w:bCs/>
          <w:color w:val="000000" w:themeColor="text1"/>
          <w:sz w:val="32"/>
          <w:szCs w:val="32"/>
          <w:lang w:val="es"/>
        </w:rPr>
        <w:t>Efectividad del modelo de gobernanza en la gestión pública: una revisión sistemática</w:t>
      </w:r>
    </w:p>
    <w:p w14:paraId="77F94E0C" w14:textId="77777777" w:rsidR="00A84B7B" w:rsidRDefault="00A84B7B" w:rsidP="00A84B7B">
      <w:pPr>
        <w:spacing w:after="0" w:line="240" w:lineRule="auto"/>
        <w:ind w:right="1469"/>
        <w:rPr>
          <w:rFonts w:ascii="Century Gothic" w:hAnsi="Century Gothic" w:cs="Arial"/>
          <w:i/>
          <w:iCs/>
          <w:noProof/>
          <w:color w:val="000000" w:themeColor="text1"/>
          <w:sz w:val="24"/>
          <w:szCs w:val="24"/>
          <w:lang w:val="en-CA"/>
        </w:rPr>
      </w:pPr>
      <w:r w:rsidRPr="00A84B7B">
        <w:rPr>
          <w:rFonts w:ascii="Century Gothic" w:hAnsi="Century Gothic" w:cs="Arial"/>
          <w:i/>
          <w:iCs/>
          <w:noProof/>
          <w:color w:val="000000" w:themeColor="text1"/>
          <w:sz w:val="24"/>
          <w:szCs w:val="24"/>
          <w:lang w:val="en-CA"/>
        </w:rPr>
        <w:t>Effectiveness of the governa</w:t>
      </w:r>
      <w:r>
        <w:rPr>
          <w:rFonts w:ascii="Century Gothic" w:hAnsi="Century Gothic" w:cs="Arial"/>
          <w:i/>
          <w:iCs/>
          <w:noProof/>
          <w:color w:val="000000" w:themeColor="text1"/>
          <w:sz w:val="24"/>
          <w:szCs w:val="24"/>
          <w:lang w:val="en-CA"/>
        </w:rPr>
        <w:t>nce model in public management:</w:t>
      </w:r>
    </w:p>
    <w:p w14:paraId="23D8FCC1" w14:textId="51BA6D20" w:rsidR="00A84B7B" w:rsidRPr="00A84B7B" w:rsidRDefault="00A84B7B" w:rsidP="00A84B7B">
      <w:pPr>
        <w:spacing w:after="0" w:line="240" w:lineRule="auto"/>
        <w:ind w:right="1469"/>
        <w:rPr>
          <w:rFonts w:ascii="Century Gothic" w:hAnsi="Century Gothic" w:cs="Arial"/>
          <w:i/>
          <w:iCs/>
          <w:noProof/>
          <w:color w:val="000000" w:themeColor="text1"/>
          <w:sz w:val="24"/>
          <w:szCs w:val="24"/>
          <w:lang w:val="es-MX"/>
        </w:rPr>
      </w:pPr>
      <w:r w:rsidRPr="00A84B7B">
        <w:rPr>
          <w:rFonts w:ascii="Century Gothic" w:hAnsi="Century Gothic" w:cs="Arial"/>
          <w:i/>
          <w:iCs/>
          <w:noProof/>
          <w:color w:val="000000" w:themeColor="text1"/>
          <w:sz w:val="24"/>
          <w:szCs w:val="24"/>
          <w:lang w:val="es-MX"/>
        </w:rPr>
        <w:t>A systematic review</w:t>
      </w:r>
    </w:p>
    <w:p w14:paraId="54D491F2" w14:textId="77777777" w:rsidR="00215797" w:rsidRPr="00A84B7B" w:rsidRDefault="00215797" w:rsidP="00667158">
      <w:pPr>
        <w:spacing w:after="0" w:line="240" w:lineRule="auto"/>
        <w:ind w:right="1469"/>
        <w:rPr>
          <w:rFonts w:ascii="Century Gothic" w:hAnsi="Century Gothic" w:cs="Arial"/>
          <w:b/>
          <w:color w:val="000000" w:themeColor="text1"/>
          <w:sz w:val="20"/>
          <w:szCs w:val="16"/>
          <w:lang w:val="es-MX"/>
        </w:rPr>
      </w:pPr>
    </w:p>
    <w:p w14:paraId="1EA5FA41" w14:textId="39E595CB" w:rsidR="002C5594" w:rsidRPr="003E5AF8" w:rsidRDefault="002C5594" w:rsidP="002C5594">
      <w:pPr>
        <w:spacing w:after="0" w:line="240" w:lineRule="auto"/>
        <w:ind w:right="1469"/>
        <w:jc w:val="both"/>
        <w:rPr>
          <w:rFonts w:ascii="Century Gothic" w:hAnsi="Century Gothic" w:cs="Arial"/>
          <w:color w:val="000000" w:themeColor="text1"/>
          <w:sz w:val="16"/>
          <w:szCs w:val="16"/>
          <w:lang w:val="es-MX"/>
        </w:rPr>
      </w:pPr>
      <w:r w:rsidRPr="003E5AF8">
        <w:rPr>
          <w:rFonts w:ascii="Century Gothic" w:hAnsi="Century Gothic" w:cs="Arial"/>
          <w:b/>
          <w:color w:val="000000" w:themeColor="text1"/>
          <w:sz w:val="16"/>
          <w:szCs w:val="16"/>
          <w:lang w:val="es-MX"/>
        </w:rPr>
        <w:t>Recibido:</w:t>
      </w:r>
      <w:r w:rsidRPr="003E5AF8">
        <w:rPr>
          <w:rFonts w:ascii="Century Gothic" w:hAnsi="Century Gothic" w:cs="Arial"/>
          <w:color w:val="000000" w:themeColor="text1"/>
          <w:sz w:val="16"/>
          <w:szCs w:val="16"/>
          <w:lang w:val="es-MX"/>
        </w:rPr>
        <w:t xml:space="preserve"> </w:t>
      </w:r>
      <w:r w:rsidR="00A84B7B">
        <w:rPr>
          <w:rFonts w:ascii="Century Gothic" w:hAnsi="Century Gothic" w:cs="Arial"/>
          <w:color w:val="000000" w:themeColor="text1"/>
          <w:sz w:val="16"/>
          <w:szCs w:val="16"/>
          <w:lang w:val="es-MX"/>
        </w:rPr>
        <w:t>03</w:t>
      </w:r>
      <w:r w:rsidR="001321F2" w:rsidRPr="003E5AF8">
        <w:rPr>
          <w:rFonts w:ascii="Century Gothic" w:hAnsi="Century Gothic" w:cs="Arial"/>
          <w:color w:val="000000" w:themeColor="text1"/>
          <w:sz w:val="16"/>
          <w:szCs w:val="16"/>
          <w:lang w:val="es-MX"/>
        </w:rPr>
        <w:t>/0</w:t>
      </w:r>
      <w:r w:rsidR="00A84B7B">
        <w:rPr>
          <w:rFonts w:ascii="Century Gothic" w:hAnsi="Century Gothic" w:cs="Arial"/>
          <w:color w:val="000000" w:themeColor="text1"/>
          <w:sz w:val="16"/>
          <w:szCs w:val="16"/>
          <w:lang w:val="es-MX"/>
        </w:rPr>
        <w:t>5</w:t>
      </w:r>
      <w:r w:rsidRPr="003E5AF8">
        <w:rPr>
          <w:rFonts w:ascii="Century Gothic" w:hAnsi="Century Gothic" w:cs="Arial"/>
          <w:color w:val="000000" w:themeColor="text1"/>
          <w:sz w:val="16"/>
          <w:szCs w:val="16"/>
          <w:lang w:val="es-MX"/>
        </w:rPr>
        <w:t xml:space="preserve">/2025 - </w:t>
      </w:r>
      <w:r w:rsidRPr="003E5AF8">
        <w:rPr>
          <w:rFonts w:ascii="Century Gothic" w:hAnsi="Century Gothic" w:cs="Arial"/>
          <w:b/>
          <w:color w:val="000000" w:themeColor="text1"/>
          <w:sz w:val="16"/>
          <w:szCs w:val="16"/>
          <w:lang w:val="es-MX"/>
        </w:rPr>
        <w:t>Aceptado:</w:t>
      </w:r>
      <w:r w:rsidR="001321F2" w:rsidRPr="003E5AF8">
        <w:rPr>
          <w:rFonts w:ascii="Century Gothic" w:hAnsi="Century Gothic" w:cs="Arial"/>
          <w:color w:val="000000" w:themeColor="text1"/>
          <w:sz w:val="16"/>
          <w:szCs w:val="16"/>
          <w:lang w:val="es-MX"/>
        </w:rPr>
        <w:t xml:space="preserve"> </w:t>
      </w:r>
      <w:r w:rsidR="00EC4351" w:rsidRPr="003E5AF8">
        <w:rPr>
          <w:rFonts w:ascii="Century Gothic" w:hAnsi="Century Gothic" w:cs="Arial"/>
          <w:color w:val="000000" w:themeColor="text1"/>
          <w:sz w:val="16"/>
          <w:szCs w:val="16"/>
          <w:lang w:val="es-MX"/>
        </w:rPr>
        <w:t>1</w:t>
      </w:r>
      <w:r w:rsidR="00A84B7B">
        <w:rPr>
          <w:rFonts w:ascii="Century Gothic" w:hAnsi="Century Gothic" w:cs="Arial"/>
          <w:color w:val="000000" w:themeColor="text1"/>
          <w:sz w:val="16"/>
          <w:szCs w:val="16"/>
          <w:lang w:val="es-MX"/>
        </w:rPr>
        <w:t>2</w:t>
      </w:r>
      <w:r w:rsidR="000E7EF6" w:rsidRPr="003E5AF8">
        <w:rPr>
          <w:rFonts w:ascii="Century Gothic" w:hAnsi="Century Gothic" w:cs="Arial"/>
          <w:color w:val="000000" w:themeColor="text1"/>
          <w:sz w:val="16"/>
          <w:szCs w:val="16"/>
          <w:lang w:val="es-MX"/>
        </w:rPr>
        <w:t>/0</w:t>
      </w:r>
      <w:r w:rsidR="005F04EB" w:rsidRPr="003E5AF8">
        <w:rPr>
          <w:rFonts w:ascii="Century Gothic" w:hAnsi="Century Gothic" w:cs="Arial"/>
          <w:color w:val="000000" w:themeColor="text1"/>
          <w:sz w:val="16"/>
          <w:szCs w:val="16"/>
          <w:lang w:val="es-MX"/>
        </w:rPr>
        <w:t>9</w:t>
      </w:r>
      <w:r w:rsidRPr="003E5AF8">
        <w:rPr>
          <w:rFonts w:ascii="Century Gothic" w:hAnsi="Century Gothic" w:cs="Arial"/>
          <w:color w:val="000000" w:themeColor="text1"/>
          <w:sz w:val="16"/>
          <w:szCs w:val="16"/>
          <w:lang w:val="es-MX"/>
        </w:rPr>
        <w:t>/2025</w:t>
      </w:r>
    </w:p>
    <w:p w14:paraId="607E5D50" w14:textId="627FC269" w:rsidR="001563D7" w:rsidRPr="003E5AF8" w:rsidRDefault="001563D7" w:rsidP="00215797">
      <w:pPr>
        <w:spacing w:after="0" w:line="240" w:lineRule="auto"/>
        <w:ind w:right="1469"/>
        <w:rPr>
          <w:rFonts w:ascii="Arial" w:hAnsi="Arial" w:cs="Arial"/>
          <w:sz w:val="20"/>
          <w:szCs w:val="16"/>
          <w:lang w:val="es-MX"/>
        </w:rPr>
      </w:pPr>
    </w:p>
    <w:p w14:paraId="4BF215D3" w14:textId="77777777" w:rsidR="00A84B7B" w:rsidRPr="00A84B7B" w:rsidRDefault="00A84B7B" w:rsidP="00E35B49">
      <w:pPr>
        <w:spacing w:after="0" w:line="240" w:lineRule="auto"/>
        <w:jc w:val="right"/>
        <w:rPr>
          <w:rFonts w:ascii="Century Gothic" w:hAnsi="Century Gothic" w:cs="Arial"/>
          <w:b/>
          <w:sz w:val="20"/>
          <w:lang w:val="es"/>
        </w:rPr>
      </w:pPr>
      <w:r w:rsidRPr="00A84B7B">
        <w:rPr>
          <w:rFonts w:ascii="Century Gothic" w:hAnsi="Century Gothic" w:cs="Arial"/>
          <w:b/>
          <w:sz w:val="20"/>
          <w:lang w:val="es"/>
        </w:rPr>
        <w:t xml:space="preserve">Glizet Teresa Dominguez Montalvo </w:t>
      </w:r>
    </w:p>
    <w:p w14:paraId="213C118D" w14:textId="77777777" w:rsidR="00A84B7B" w:rsidRPr="00A84B7B" w:rsidRDefault="00A84B7B" w:rsidP="00E35B49">
      <w:pPr>
        <w:spacing w:after="0" w:line="240" w:lineRule="auto"/>
        <w:jc w:val="right"/>
        <w:rPr>
          <w:rFonts w:ascii="Arial" w:hAnsi="Arial" w:cs="Arial"/>
          <w:sz w:val="20"/>
          <w:lang w:val="es"/>
        </w:rPr>
      </w:pPr>
      <w:hyperlink r:id="rId8">
        <w:r w:rsidRPr="00A84B7B">
          <w:rPr>
            <w:rStyle w:val="Hipervnculo"/>
            <w:rFonts w:ascii="Arial" w:hAnsi="Arial" w:cs="Arial"/>
            <w:color w:val="auto"/>
            <w:sz w:val="20"/>
            <w:lang w:val="es"/>
          </w:rPr>
          <w:t>https://orcid.org/0009-0005-5604-3880</w:t>
        </w:r>
      </w:hyperlink>
    </w:p>
    <w:p w14:paraId="187A1628" w14:textId="77777777" w:rsidR="00A84B7B" w:rsidRPr="00A84B7B" w:rsidRDefault="00A84B7B" w:rsidP="00E35B49">
      <w:pPr>
        <w:spacing w:after="0" w:line="240" w:lineRule="auto"/>
        <w:jc w:val="right"/>
        <w:rPr>
          <w:rFonts w:ascii="Arial" w:hAnsi="Arial" w:cs="Arial"/>
          <w:sz w:val="20"/>
          <w:lang w:val="es"/>
        </w:rPr>
      </w:pPr>
      <w:hyperlink r:id="rId9">
        <w:r w:rsidRPr="00A84B7B">
          <w:rPr>
            <w:rStyle w:val="Hipervnculo"/>
            <w:rFonts w:ascii="Arial" w:hAnsi="Arial" w:cs="Arial"/>
            <w:color w:val="auto"/>
            <w:sz w:val="20"/>
            <w:lang w:val="es"/>
          </w:rPr>
          <w:t>gdominguez@unheval.edu.pe</w:t>
        </w:r>
      </w:hyperlink>
    </w:p>
    <w:p w14:paraId="7D84F590" w14:textId="4A931B5C" w:rsidR="00A84B7B" w:rsidRPr="00A84B7B" w:rsidRDefault="00A84B7B" w:rsidP="00E35B49">
      <w:pPr>
        <w:spacing w:after="0" w:line="240" w:lineRule="auto"/>
        <w:jc w:val="right"/>
        <w:rPr>
          <w:rFonts w:ascii="Arial" w:hAnsi="Arial" w:cs="Arial"/>
          <w:sz w:val="20"/>
          <w:lang w:val="es"/>
        </w:rPr>
      </w:pPr>
      <w:r w:rsidRPr="00A84B7B">
        <w:rPr>
          <w:rFonts w:ascii="Arial" w:hAnsi="Arial" w:cs="Arial"/>
          <w:sz w:val="20"/>
          <w:lang w:val="es"/>
        </w:rPr>
        <w:t>Universidad Nacional Hermilio Valdizán. Huánuco, Perú</w:t>
      </w:r>
    </w:p>
    <w:p w14:paraId="70CDA373" w14:textId="77777777" w:rsidR="00A84B7B" w:rsidRPr="00A84B7B" w:rsidRDefault="00A84B7B" w:rsidP="00E35B49">
      <w:pPr>
        <w:spacing w:after="0" w:line="240" w:lineRule="auto"/>
        <w:jc w:val="right"/>
        <w:rPr>
          <w:rFonts w:ascii="Century Gothic" w:hAnsi="Century Gothic" w:cs="Arial"/>
          <w:b/>
          <w:sz w:val="20"/>
          <w:lang w:val="es"/>
        </w:rPr>
      </w:pPr>
    </w:p>
    <w:p w14:paraId="1C0462A6" w14:textId="77777777" w:rsidR="00A84B7B" w:rsidRPr="00A84B7B" w:rsidRDefault="00A84B7B" w:rsidP="00E35B49">
      <w:pPr>
        <w:spacing w:after="0" w:line="240" w:lineRule="auto"/>
        <w:jc w:val="right"/>
        <w:rPr>
          <w:rFonts w:ascii="Century Gothic" w:hAnsi="Century Gothic" w:cs="Arial"/>
          <w:b/>
          <w:sz w:val="20"/>
          <w:lang w:val="es"/>
        </w:rPr>
      </w:pPr>
      <w:r w:rsidRPr="00A84B7B">
        <w:rPr>
          <w:rFonts w:ascii="Century Gothic" w:hAnsi="Century Gothic" w:cs="Arial"/>
          <w:b/>
          <w:sz w:val="20"/>
          <w:lang w:val="es"/>
        </w:rPr>
        <w:t>Armando Tarco Sánchez</w:t>
      </w:r>
    </w:p>
    <w:p w14:paraId="6F49351F" w14:textId="77777777" w:rsidR="00A84B7B" w:rsidRPr="00A84B7B" w:rsidRDefault="00A84B7B" w:rsidP="00E35B49">
      <w:pPr>
        <w:spacing w:after="0" w:line="240" w:lineRule="auto"/>
        <w:jc w:val="right"/>
        <w:rPr>
          <w:rFonts w:ascii="Arial" w:hAnsi="Arial" w:cs="Arial"/>
          <w:sz w:val="20"/>
          <w:lang w:val="es"/>
        </w:rPr>
      </w:pPr>
      <w:hyperlink r:id="rId10">
        <w:r w:rsidRPr="00A84B7B">
          <w:rPr>
            <w:rStyle w:val="Hipervnculo"/>
            <w:rFonts w:ascii="Arial" w:hAnsi="Arial" w:cs="Arial"/>
            <w:color w:val="auto"/>
            <w:sz w:val="20"/>
            <w:lang w:val="es"/>
          </w:rPr>
          <w:t>https://orcid.org/0000-0003-0599-721X</w:t>
        </w:r>
      </w:hyperlink>
    </w:p>
    <w:p w14:paraId="6687D6A7" w14:textId="77777777" w:rsidR="00A84B7B" w:rsidRPr="00A84B7B" w:rsidRDefault="00A84B7B" w:rsidP="00E35B49">
      <w:pPr>
        <w:spacing w:after="0" w:line="240" w:lineRule="auto"/>
        <w:jc w:val="right"/>
        <w:rPr>
          <w:rFonts w:ascii="Arial" w:hAnsi="Arial" w:cs="Arial"/>
          <w:sz w:val="20"/>
          <w:lang w:val="es"/>
        </w:rPr>
      </w:pPr>
      <w:hyperlink r:id="rId11">
        <w:r w:rsidRPr="00A84B7B">
          <w:rPr>
            <w:rStyle w:val="Hipervnculo"/>
            <w:rFonts w:ascii="Arial" w:hAnsi="Arial" w:cs="Arial"/>
            <w:color w:val="auto"/>
            <w:sz w:val="20"/>
            <w:lang w:val="es"/>
          </w:rPr>
          <w:t>armando.tarco@unsaac.edu.pe</w:t>
        </w:r>
      </w:hyperlink>
    </w:p>
    <w:p w14:paraId="0D6E1462" w14:textId="59E2F8A1" w:rsidR="00A84B7B" w:rsidRPr="00A84B7B" w:rsidRDefault="00A84B7B" w:rsidP="00E35B49">
      <w:pPr>
        <w:spacing w:after="0" w:line="240" w:lineRule="auto"/>
        <w:jc w:val="right"/>
        <w:rPr>
          <w:rFonts w:ascii="Arial" w:hAnsi="Arial" w:cs="Arial"/>
          <w:sz w:val="20"/>
          <w:lang w:val="es"/>
        </w:rPr>
      </w:pPr>
      <w:r w:rsidRPr="00A84B7B">
        <w:rPr>
          <w:rFonts w:ascii="Arial" w:hAnsi="Arial" w:cs="Arial"/>
          <w:sz w:val="20"/>
          <w:lang w:val="es"/>
        </w:rPr>
        <w:t>Universidad Nacional de San Antonio Abad del Cusco. Cusco, Perú</w:t>
      </w:r>
    </w:p>
    <w:p w14:paraId="53109924" w14:textId="77777777" w:rsidR="00A84B7B" w:rsidRPr="00A84B7B" w:rsidRDefault="00A84B7B" w:rsidP="00E35B49">
      <w:pPr>
        <w:spacing w:after="0" w:line="240" w:lineRule="auto"/>
        <w:jc w:val="right"/>
        <w:rPr>
          <w:rFonts w:ascii="Century Gothic" w:hAnsi="Century Gothic" w:cs="Arial"/>
          <w:b/>
          <w:sz w:val="20"/>
          <w:lang w:val="es"/>
        </w:rPr>
      </w:pPr>
    </w:p>
    <w:p w14:paraId="3ECFD3FE" w14:textId="77777777" w:rsidR="00A84B7B" w:rsidRPr="00A84B7B" w:rsidRDefault="00A84B7B" w:rsidP="00E35B49">
      <w:pPr>
        <w:spacing w:after="0" w:line="240" w:lineRule="auto"/>
        <w:jc w:val="right"/>
        <w:rPr>
          <w:rFonts w:ascii="Century Gothic" w:hAnsi="Century Gothic" w:cs="Arial"/>
          <w:b/>
          <w:sz w:val="20"/>
          <w:lang w:val="es"/>
        </w:rPr>
      </w:pPr>
      <w:r w:rsidRPr="00A84B7B">
        <w:rPr>
          <w:rFonts w:ascii="Century Gothic" w:hAnsi="Century Gothic" w:cs="Arial"/>
          <w:b/>
          <w:sz w:val="20"/>
          <w:lang w:val="es"/>
        </w:rPr>
        <w:t>Merida Marlleny Alatrista Gironzini</w:t>
      </w:r>
    </w:p>
    <w:p w14:paraId="46048FEA" w14:textId="77777777" w:rsidR="00A84B7B" w:rsidRPr="00A84B7B" w:rsidRDefault="00A84B7B" w:rsidP="00E35B49">
      <w:pPr>
        <w:spacing w:after="0" w:line="240" w:lineRule="auto"/>
        <w:jc w:val="right"/>
        <w:rPr>
          <w:rFonts w:ascii="Arial" w:hAnsi="Arial" w:cs="Arial"/>
          <w:sz w:val="20"/>
          <w:lang w:val="es"/>
        </w:rPr>
      </w:pPr>
      <w:r w:rsidRPr="00A84B7B">
        <w:rPr>
          <w:rFonts w:ascii="Arial" w:hAnsi="Arial" w:cs="Arial"/>
          <w:sz w:val="20"/>
          <w:lang w:val="es"/>
        </w:rPr>
        <w:t>https:/orcid.org/0000-0002-4757-4971</w:t>
      </w:r>
    </w:p>
    <w:p w14:paraId="3811D947" w14:textId="77777777" w:rsidR="00A84B7B" w:rsidRPr="00A84B7B" w:rsidRDefault="00A84B7B" w:rsidP="00E35B49">
      <w:pPr>
        <w:spacing w:after="0" w:line="240" w:lineRule="auto"/>
        <w:jc w:val="right"/>
        <w:rPr>
          <w:rFonts w:ascii="Arial" w:hAnsi="Arial" w:cs="Arial"/>
          <w:sz w:val="20"/>
          <w:lang w:val="es"/>
        </w:rPr>
      </w:pPr>
      <w:hyperlink r:id="rId12">
        <w:r w:rsidRPr="00A84B7B">
          <w:rPr>
            <w:rStyle w:val="Hipervnculo"/>
            <w:rFonts w:ascii="Arial" w:hAnsi="Arial" w:cs="Arial"/>
            <w:color w:val="auto"/>
            <w:sz w:val="20"/>
            <w:lang w:val="es"/>
          </w:rPr>
          <w:t>merida.alatrista@unsaac.edu.pe</w:t>
        </w:r>
      </w:hyperlink>
    </w:p>
    <w:p w14:paraId="07C4B5ED" w14:textId="6293D51C" w:rsidR="00A84B7B" w:rsidRPr="00A84B7B" w:rsidRDefault="00A84B7B" w:rsidP="00E35B49">
      <w:pPr>
        <w:spacing w:after="0" w:line="240" w:lineRule="auto"/>
        <w:jc w:val="right"/>
        <w:rPr>
          <w:rFonts w:ascii="Arial" w:hAnsi="Arial" w:cs="Arial"/>
          <w:sz w:val="20"/>
          <w:lang w:val="es"/>
        </w:rPr>
      </w:pPr>
      <w:r w:rsidRPr="00A84B7B">
        <w:rPr>
          <w:rFonts w:ascii="Arial" w:hAnsi="Arial" w:cs="Arial"/>
          <w:sz w:val="20"/>
          <w:lang w:val="es"/>
        </w:rPr>
        <w:t>Universidad Nacional de San Antonio Abad del Cusco. Cusco, Perú</w:t>
      </w:r>
    </w:p>
    <w:p w14:paraId="2083FC79" w14:textId="77777777" w:rsidR="00A84B7B" w:rsidRPr="00A84B7B" w:rsidRDefault="00A84B7B" w:rsidP="00E35B49">
      <w:pPr>
        <w:spacing w:after="0" w:line="240" w:lineRule="auto"/>
        <w:jc w:val="right"/>
        <w:rPr>
          <w:rFonts w:ascii="Century Gothic" w:hAnsi="Century Gothic" w:cs="Arial"/>
          <w:b/>
          <w:sz w:val="20"/>
          <w:lang w:val="es"/>
        </w:rPr>
      </w:pPr>
    </w:p>
    <w:p w14:paraId="02796A5A" w14:textId="77777777" w:rsidR="00A84B7B" w:rsidRPr="00A84B7B" w:rsidRDefault="00A84B7B" w:rsidP="00E35B49">
      <w:pPr>
        <w:spacing w:after="0" w:line="240" w:lineRule="auto"/>
        <w:jc w:val="right"/>
        <w:rPr>
          <w:rFonts w:ascii="Century Gothic" w:hAnsi="Century Gothic" w:cs="Arial"/>
          <w:b/>
          <w:sz w:val="20"/>
          <w:lang w:val="es"/>
        </w:rPr>
      </w:pPr>
      <w:r w:rsidRPr="00A84B7B">
        <w:rPr>
          <w:rFonts w:ascii="Century Gothic" w:hAnsi="Century Gothic" w:cs="Arial"/>
          <w:b/>
          <w:sz w:val="20"/>
          <w:lang w:val="es"/>
        </w:rPr>
        <w:t>Carmen Elvira Zavalaga Bustos</w:t>
      </w:r>
    </w:p>
    <w:p w14:paraId="06F1C19C" w14:textId="77777777" w:rsidR="00A84B7B" w:rsidRPr="00A84B7B" w:rsidRDefault="00A84B7B" w:rsidP="00E35B49">
      <w:pPr>
        <w:spacing w:after="0" w:line="240" w:lineRule="auto"/>
        <w:jc w:val="right"/>
        <w:rPr>
          <w:rFonts w:ascii="Arial" w:hAnsi="Arial" w:cs="Arial"/>
          <w:sz w:val="20"/>
          <w:lang w:val="es"/>
        </w:rPr>
      </w:pPr>
      <w:hyperlink r:id="rId13">
        <w:r w:rsidRPr="00A84B7B">
          <w:rPr>
            <w:rStyle w:val="Hipervnculo"/>
            <w:rFonts w:ascii="Arial" w:hAnsi="Arial" w:cs="Arial"/>
            <w:color w:val="auto"/>
            <w:sz w:val="20"/>
            <w:lang w:val="es"/>
          </w:rPr>
          <w:t>https://orcid.org/0000-0001-8035-3858</w:t>
        </w:r>
      </w:hyperlink>
    </w:p>
    <w:p w14:paraId="039D3905" w14:textId="77777777" w:rsidR="00A84B7B" w:rsidRPr="00A84B7B" w:rsidRDefault="00A84B7B" w:rsidP="00E35B49">
      <w:pPr>
        <w:spacing w:after="0" w:line="240" w:lineRule="auto"/>
        <w:jc w:val="right"/>
        <w:rPr>
          <w:rFonts w:ascii="Arial" w:hAnsi="Arial" w:cs="Arial"/>
          <w:sz w:val="20"/>
          <w:lang w:val="es"/>
        </w:rPr>
      </w:pPr>
      <w:hyperlink r:id="rId14" w:history="1">
        <w:r w:rsidRPr="00A84B7B">
          <w:rPr>
            <w:rStyle w:val="Hipervnculo"/>
            <w:rFonts w:ascii="Arial" w:hAnsi="Arial" w:cs="Arial"/>
            <w:color w:val="auto"/>
            <w:sz w:val="20"/>
            <w:lang w:val="es"/>
          </w:rPr>
          <w:t>czavalaga@unheval.edu.pe</w:t>
        </w:r>
      </w:hyperlink>
    </w:p>
    <w:p w14:paraId="6136BC8A" w14:textId="7847F892" w:rsidR="00A84B7B" w:rsidRPr="00A84B7B" w:rsidRDefault="00A84B7B" w:rsidP="00E35B49">
      <w:pPr>
        <w:spacing w:after="0" w:line="240" w:lineRule="auto"/>
        <w:jc w:val="right"/>
        <w:rPr>
          <w:rFonts w:ascii="Arial" w:hAnsi="Arial" w:cs="Arial"/>
          <w:sz w:val="20"/>
          <w:lang w:val="es"/>
        </w:rPr>
      </w:pPr>
      <w:r w:rsidRPr="00A84B7B">
        <w:rPr>
          <w:rFonts w:ascii="Arial" w:hAnsi="Arial" w:cs="Arial"/>
          <w:sz w:val="20"/>
          <w:lang w:val="es"/>
        </w:rPr>
        <w:t>Universidad Nacional Hermilio Valdizán. Huánuco, Perú</w:t>
      </w:r>
    </w:p>
    <w:p w14:paraId="0BEBF5D8" w14:textId="77777777" w:rsidR="00A84B7B" w:rsidRPr="00A84B7B" w:rsidRDefault="00A84B7B" w:rsidP="00E35B49">
      <w:pPr>
        <w:spacing w:after="0" w:line="240" w:lineRule="auto"/>
        <w:jc w:val="right"/>
        <w:rPr>
          <w:rFonts w:ascii="Century Gothic" w:hAnsi="Century Gothic" w:cs="Arial"/>
          <w:b/>
          <w:sz w:val="20"/>
          <w:lang w:val="es"/>
        </w:rPr>
      </w:pPr>
    </w:p>
    <w:p w14:paraId="76430EAC" w14:textId="77777777" w:rsidR="00A84B7B" w:rsidRPr="00A84B7B" w:rsidRDefault="00A84B7B" w:rsidP="00E35B49">
      <w:pPr>
        <w:spacing w:after="0" w:line="240" w:lineRule="auto"/>
        <w:jc w:val="right"/>
        <w:rPr>
          <w:rFonts w:ascii="Century Gothic" w:hAnsi="Century Gothic" w:cs="Arial"/>
          <w:b/>
          <w:sz w:val="20"/>
          <w:lang w:val="es"/>
        </w:rPr>
      </w:pPr>
      <w:r w:rsidRPr="00A84B7B">
        <w:rPr>
          <w:rFonts w:ascii="Century Gothic" w:hAnsi="Century Gothic" w:cs="Arial"/>
          <w:b/>
          <w:sz w:val="20"/>
          <w:lang w:val="es"/>
        </w:rPr>
        <w:t>Jorge Luis Palomino Vargas</w:t>
      </w:r>
    </w:p>
    <w:p w14:paraId="0596C6F6" w14:textId="77777777" w:rsidR="00A84B7B" w:rsidRPr="00A84B7B" w:rsidRDefault="00A84B7B" w:rsidP="00E35B49">
      <w:pPr>
        <w:spacing w:after="0" w:line="240" w:lineRule="auto"/>
        <w:jc w:val="right"/>
        <w:rPr>
          <w:rFonts w:ascii="Arial" w:hAnsi="Arial" w:cs="Arial"/>
          <w:sz w:val="20"/>
          <w:lang w:val="es"/>
        </w:rPr>
      </w:pPr>
      <w:hyperlink r:id="rId15">
        <w:r w:rsidRPr="00A84B7B">
          <w:rPr>
            <w:rStyle w:val="Hipervnculo"/>
            <w:rFonts w:ascii="Arial" w:hAnsi="Arial" w:cs="Arial"/>
            <w:color w:val="auto"/>
            <w:sz w:val="20"/>
            <w:lang w:val="es"/>
          </w:rPr>
          <w:t>https://orcid.org/0000-0003-2914-7842</w:t>
        </w:r>
      </w:hyperlink>
    </w:p>
    <w:p w14:paraId="045B8331" w14:textId="77777777" w:rsidR="00A84B7B" w:rsidRPr="00A84B7B" w:rsidRDefault="00A84B7B" w:rsidP="00E35B49">
      <w:pPr>
        <w:spacing w:after="0" w:line="240" w:lineRule="auto"/>
        <w:jc w:val="right"/>
        <w:rPr>
          <w:rFonts w:ascii="Arial" w:hAnsi="Arial" w:cs="Arial"/>
          <w:sz w:val="20"/>
          <w:lang w:val="es"/>
        </w:rPr>
      </w:pPr>
      <w:hyperlink r:id="rId16">
        <w:r w:rsidRPr="00A84B7B">
          <w:rPr>
            <w:rStyle w:val="Hipervnculo"/>
            <w:rFonts w:ascii="Arial" w:hAnsi="Arial" w:cs="Arial"/>
            <w:color w:val="auto"/>
            <w:sz w:val="20"/>
            <w:lang w:val="es"/>
          </w:rPr>
          <w:t>d.jpalominov@ms.upla.edu.pe</w:t>
        </w:r>
      </w:hyperlink>
    </w:p>
    <w:p w14:paraId="256C9A21" w14:textId="4406B2D9" w:rsidR="00A84B7B" w:rsidRPr="00A84B7B" w:rsidRDefault="00A84B7B" w:rsidP="00E35B49">
      <w:pPr>
        <w:spacing w:after="0" w:line="240" w:lineRule="auto"/>
        <w:jc w:val="right"/>
        <w:rPr>
          <w:rFonts w:ascii="Arial" w:hAnsi="Arial" w:cs="Arial"/>
          <w:sz w:val="20"/>
          <w:lang w:val="es"/>
        </w:rPr>
      </w:pPr>
      <w:r w:rsidRPr="00A84B7B">
        <w:rPr>
          <w:rFonts w:ascii="Arial" w:hAnsi="Arial" w:cs="Arial"/>
          <w:sz w:val="20"/>
          <w:lang w:val="es"/>
        </w:rPr>
        <w:t>Universidad Peruana Los Andes. Huancayo, Perú</w:t>
      </w:r>
    </w:p>
    <w:p w14:paraId="56CF4A23" w14:textId="10E1690D" w:rsidR="005F04EB" w:rsidRPr="00A84B7B" w:rsidRDefault="005F04EB" w:rsidP="00E266AC">
      <w:pPr>
        <w:spacing w:after="0" w:line="240" w:lineRule="auto"/>
        <w:rPr>
          <w:rFonts w:ascii="Arial" w:hAnsi="Arial" w:cs="Arial"/>
          <w:sz w:val="20"/>
          <w:u w:val="single"/>
          <w:lang w:val="es"/>
        </w:rPr>
      </w:pPr>
    </w:p>
    <w:p w14:paraId="6635F6A3" w14:textId="77777777" w:rsidR="00C00984" w:rsidRPr="003E5AF8" w:rsidRDefault="00C00984" w:rsidP="007220FC">
      <w:pPr>
        <w:spacing w:after="0" w:line="240" w:lineRule="auto"/>
        <w:jc w:val="both"/>
        <w:rPr>
          <w:rFonts w:ascii="Century Gothic" w:hAnsi="Century Gothic" w:cs="Arial"/>
          <w:b/>
          <w:bCs/>
          <w:color w:val="000000" w:themeColor="text1"/>
        </w:rPr>
      </w:pPr>
      <w:r w:rsidRPr="003E5AF8">
        <w:rPr>
          <w:rFonts w:ascii="Century Gothic" w:hAnsi="Century Gothic" w:cs="Arial"/>
          <w:b/>
          <w:bCs/>
          <w:color w:val="000000" w:themeColor="text1"/>
        </w:rPr>
        <w:t>Resumen</w:t>
      </w:r>
    </w:p>
    <w:p w14:paraId="4569D57F" w14:textId="76A7726A" w:rsidR="005409FA" w:rsidRDefault="004F26E5" w:rsidP="00CB1747">
      <w:pPr>
        <w:spacing w:after="0" w:line="240" w:lineRule="auto"/>
        <w:jc w:val="both"/>
        <w:rPr>
          <w:rFonts w:ascii="Arial" w:hAnsi="Arial" w:cs="Arial"/>
          <w:color w:val="000000" w:themeColor="text1"/>
          <w:sz w:val="20"/>
          <w:szCs w:val="20"/>
        </w:rPr>
      </w:pPr>
      <w:r w:rsidRPr="004F26E5">
        <w:rPr>
          <w:rFonts w:ascii="Arial" w:hAnsi="Arial" w:cs="Arial"/>
          <w:color w:val="000000" w:themeColor="text1"/>
          <w:sz w:val="20"/>
          <w:szCs w:val="20"/>
        </w:rPr>
        <w:t>La gestión pública ha experimentado una evolución significativa debido a la digitalización y a la creciente demanda de una ciudadanía más involucrada y exigente, lo que ha impulsado la adopción de modelos de gobernanza más abiertos y colaborativos. En este contexto, el presente estudio lleva a cabo una revisión sistemática de la literatura combinada con un análisis bibliométrico, con el propósito de identificar los modelos de gobernanza vigentes en la gestión pública contemporánea. Para ello, se aplicó el método PRISMA y se consultaron bases de datos como Google Académico y Scopus, enfocando la búsqueda en el periodo comprendido entre 2015 y 2025. Tras un riguroso proceso de selección, se analizaron un total de 19 artículos relevantes. Los resultados indican una clara transición desde estructuras jerárquicas tradicionales hacia modelos más horizontales, colaborativos y adaptativos. Además, se concluye que una gobernanza efectiva depende de la capacidad de adaptarse a los profundos cambios tecnológicos, así como de fomentar la inclusión social y la participación ciudadana, con el objetivo último de promover el bienestar social. Así, este estudio aporta evidencia que respalda la necesidad de flexibilizar y democratizar la gestión pública para enfren</w:t>
      </w:r>
      <w:r>
        <w:rPr>
          <w:rFonts w:ascii="Arial" w:hAnsi="Arial" w:cs="Arial"/>
          <w:color w:val="000000" w:themeColor="text1"/>
          <w:sz w:val="20"/>
          <w:szCs w:val="20"/>
        </w:rPr>
        <w:t>tar los desafíos contemporáneos.</w:t>
      </w:r>
    </w:p>
    <w:p w14:paraId="10DD4705" w14:textId="77777777" w:rsidR="004F26E5" w:rsidRPr="003E5AF8" w:rsidRDefault="004F26E5" w:rsidP="00CB1747">
      <w:pPr>
        <w:spacing w:after="0" w:line="240" w:lineRule="auto"/>
        <w:jc w:val="both"/>
        <w:rPr>
          <w:rFonts w:ascii="Arial" w:hAnsi="Arial" w:cs="Arial"/>
          <w:color w:val="000000" w:themeColor="text1"/>
          <w:sz w:val="20"/>
          <w:szCs w:val="20"/>
          <w:lang w:val="es-MX"/>
        </w:rPr>
      </w:pPr>
    </w:p>
    <w:p w14:paraId="55E7C832" w14:textId="7E6A5D7E" w:rsidR="00467B48" w:rsidRPr="003E5AF8" w:rsidRDefault="00C00984" w:rsidP="00C00984">
      <w:pPr>
        <w:spacing w:after="0" w:line="240" w:lineRule="auto"/>
        <w:jc w:val="both"/>
        <w:rPr>
          <w:rFonts w:ascii="Century Gothic" w:hAnsi="Century Gothic" w:cs="Arial"/>
          <w:b/>
          <w:bCs/>
          <w:color w:val="000000" w:themeColor="text1"/>
          <w:lang w:val="es-PE"/>
        </w:rPr>
      </w:pPr>
      <w:r w:rsidRPr="003E5AF8">
        <w:rPr>
          <w:rFonts w:ascii="Arial" w:hAnsi="Arial" w:cs="Arial"/>
          <w:b/>
          <w:bCs/>
          <w:color w:val="000000" w:themeColor="text1"/>
          <w:sz w:val="20"/>
          <w:szCs w:val="20"/>
        </w:rPr>
        <w:t>Palabras clave</w:t>
      </w:r>
      <w:r w:rsidR="00807CFE" w:rsidRPr="003E5AF8">
        <w:rPr>
          <w:rFonts w:ascii="Arial" w:hAnsi="Arial" w:cs="Arial"/>
          <w:color w:val="000000" w:themeColor="text1"/>
          <w:sz w:val="20"/>
          <w:szCs w:val="20"/>
        </w:rPr>
        <w:t xml:space="preserve">: </w:t>
      </w:r>
      <w:r w:rsidR="004F26E5" w:rsidRPr="004F26E5">
        <w:rPr>
          <w:rFonts w:ascii="Arial" w:hAnsi="Arial" w:cs="Arial"/>
          <w:bCs/>
          <w:color w:val="000000" w:themeColor="text1"/>
          <w:sz w:val="20"/>
          <w:szCs w:val="20"/>
          <w:lang w:val="es"/>
        </w:rPr>
        <w:t>gestión pública</w:t>
      </w:r>
      <w:r w:rsidR="004F26E5">
        <w:rPr>
          <w:rFonts w:ascii="Arial" w:hAnsi="Arial" w:cs="Arial"/>
          <w:bCs/>
          <w:color w:val="000000" w:themeColor="text1"/>
          <w:sz w:val="20"/>
          <w:szCs w:val="20"/>
          <w:lang w:val="es"/>
        </w:rPr>
        <w:t xml:space="preserve">, gobernanza, </w:t>
      </w:r>
      <w:r w:rsidR="004F26E5" w:rsidRPr="004F26E5">
        <w:rPr>
          <w:rFonts w:ascii="Arial" w:hAnsi="Arial" w:cs="Arial"/>
          <w:bCs/>
          <w:color w:val="000000" w:themeColor="text1"/>
          <w:sz w:val="20"/>
          <w:szCs w:val="20"/>
          <w:lang w:val="es"/>
        </w:rPr>
        <w:t>participación ciudadana</w:t>
      </w:r>
      <w:r w:rsidR="004F26E5">
        <w:rPr>
          <w:rFonts w:ascii="Arial" w:hAnsi="Arial" w:cs="Arial"/>
          <w:bCs/>
          <w:color w:val="000000" w:themeColor="text1"/>
          <w:sz w:val="20"/>
          <w:szCs w:val="20"/>
          <w:lang w:val="es"/>
        </w:rPr>
        <w:t>.</w:t>
      </w:r>
    </w:p>
    <w:p w14:paraId="159EBA09" w14:textId="77777777" w:rsidR="005409FA" w:rsidRPr="003E5AF8" w:rsidRDefault="005409FA" w:rsidP="00C00984">
      <w:pPr>
        <w:spacing w:after="0" w:line="240" w:lineRule="auto"/>
        <w:jc w:val="both"/>
        <w:rPr>
          <w:rFonts w:ascii="Century Gothic" w:hAnsi="Century Gothic" w:cs="Arial"/>
          <w:b/>
          <w:bCs/>
          <w:color w:val="000000" w:themeColor="text1"/>
          <w:sz w:val="20"/>
          <w:lang w:val="es-PE"/>
        </w:rPr>
      </w:pPr>
    </w:p>
    <w:p w14:paraId="7086A53C" w14:textId="22168B39" w:rsidR="00C00984" w:rsidRPr="003E5AF8" w:rsidRDefault="00C00984" w:rsidP="00C00984">
      <w:pPr>
        <w:spacing w:after="0" w:line="240" w:lineRule="auto"/>
        <w:jc w:val="both"/>
        <w:rPr>
          <w:rFonts w:ascii="Century Gothic" w:hAnsi="Century Gothic" w:cs="Arial"/>
          <w:b/>
          <w:bCs/>
          <w:color w:val="000000" w:themeColor="text1"/>
          <w:lang w:val="en-US"/>
        </w:rPr>
      </w:pPr>
      <w:r w:rsidRPr="003E5AF8">
        <w:rPr>
          <w:rFonts w:ascii="Century Gothic" w:hAnsi="Century Gothic" w:cs="Arial"/>
          <w:b/>
          <w:bCs/>
          <w:color w:val="000000" w:themeColor="text1"/>
          <w:lang w:val="en-US"/>
        </w:rPr>
        <w:t>Abstract</w:t>
      </w:r>
    </w:p>
    <w:p w14:paraId="54EB6985" w14:textId="0CE3587A" w:rsidR="005409FA" w:rsidRDefault="004F26E5" w:rsidP="00E271E2">
      <w:pPr>
        <w:spacing w:after="0" w:line="240" w:lineRule="auto"/>
        <w:jc w:val="both"/>
        <w:rPr>
          <w:rFonts w:ascii="Arial" w:hAnsi="Arial" w:cs="Arial"/>
          <w:color w:val="000000" w:themeColor="text1"/>
          <w:sz w:val="20"/>
          <w:szCs w:val="20"/>
          <w:lang w:val="en-US"/>
        </w:rPr>
      </w:pPr>
      <w:r w:rsidRPr="004F26E5">
        <w:rPr>
          <w:rFonts w:ascii="Arial" w:hAnsi="Arial" w:cs="Arial"/>
          <w:color w:val="000000" w:themeColor="text1"/>
          <w:sz w:val="20"/>
          <w:szCs w:val="20"/>
          <w:lang w:val="en-US"/>
        </w:rPr>
        <w:t xml:space="preserve">Public administration has undergone significant evolution due to digitalization and the growing demand for a more engaged and demanding citizenry, which has spurred the adoption of more open and collaborative governance models. In this context, this study conducts a systematic literature review combined with a bibliometric analysis, with the aim of identifying the governance models currently used in contemporary public administration. To this </w:t>
      </w:r>
      <w:r w:rsidRPr="004F26E5">
        <w:rPr>
          <w:rFonts w:ascii="Arial" w:hAnsi="Arial" w:cs="Arial"/>
          <w:color w:val="000000" w:themeColor="text1"/>
          <w:sz w:val="20"/>
          <w:szCs w:val="20"/>
          <w:lang w:val="en-US"/>
        </w:rPr>
        <w:lastRenderedPageBreak/>
        <w:t>end, the PRISMA method was applied, and databases such as Google Scholar and Scopus were consulted, focusing the search on the period between 2015 and 2025. After a rigorous selection process, a total of 19 relevant articles were analyzed. The results indicate a clear transition from traditional hierarchical structures to more horizontal, collaborative, and adaptive models. Furthermore, it is concluded that effective governance depends on the ability to adapt to profound technological changes, as well as on fostering social inclusion and citizen participation, with the ultimate goal of promoting social well-being. Thus, this study provides evidence that supports the need to make public administration more flexible and democratic in order to address contemporary challenges.</w:t>
      </w:r>
    </w:p>
    <w:p w14:paraId="08C5E69D" w14:textId="77777777" w:rsidR="004F26E5" w:rsidRPr="003E5AF8" w:rsidRDefault="004F26E5" w:rsidP="00E271E2">
      <w:pPr>
        <w:spacing w:after="0" w:line="240" w:lineRule="auto"/>
        <w:jc w:val="both"/>
        <w:rPr>
          <w:rFonts w:ascii="Arial" w:hAnsi="Arial" w:cs="Arial"/>
          <w:color w:val="000000" w:themeColor="text1"/>
          <w:sz w:val="20"/>
          <w:szCs w:val="20"/>
          <w:lang w:val="en-US"/>
        </w:rPr>
      </w:pPr>
    </w:p>
    <w:p w14:paraId="43E8979D" w14:textId="7DA0BD52" w:rsidR="00B3326C" w:rsidRPr="003E5AF8" w:rsidRDefault="00C00984" w:rsidP="00E271E2">
      <w:pPr>
        <w:spacing w:after="0" w:line="240" w:lineRule="auto"/>
        <w:jc w:val="both"/>
        <w:rPr>
          <w:rFonts w:ascii="Arial" w:hAnsi="Arial" w:cs="Arial"/>
          <w:color w:val="000000" w:themeColor="text1"/>
          <w:sz w:val="20"/>
          <w:szCs w:val="20"/>
          <w:lang w:val="en-US"/>
        </w:rPr>
      </w:pPr>
      <w:r w:rsidRPr="003E5AF8">
        <w:rPr>
          <w:rFonts w:ascii="Arial" w:hAnsi="Arial" w:cs="Arial"/>
          <w:b/>
          <w:bCs/>
          <w:color w:val="000000" w:themeColor="text1"/>
          <w:sz w:val="20"/>
          <w:szCs w:val="20"/>
          <w:lang w:val="en-US"/>
        </w:rPr>
        <w:t>Keywords</w:t>
      </w:r>
      <w:r w:rsidR="00467B48" w:rsidRPr="003E5AF8">
        <w:rPr>
          <w:rFonts w:ascii="Arial" w:hAnsi="Arial" w:cs="Arial"/>
          <w:color w:val="000000" w:themeColor="text1"/>
          <w:sz w:val="20"/>
          <w:szCs w:val="20"/>
          <w:lang w:val="en-US"/>
        </w:rPr>
        <w:t xml:space="preserve">: </w:t>
      </w:r>
      <w:r w:rsidR="004F26E5" w:rsidRPr="004F26E5">
        <w:rPr>
          <w:rFonts w:ascii="Arial" w:hAnsi="Arial" w:cs="Arial"/>
          <w:color w:val="000000" w:themeColor="text1"/>
          <w:sz w:val="20"/>
          <w:szCs w:val="20"/>
          <w:lang w:val="en-US"/>
        </w:rPr>
        <w:t>public administration, governance, citizen participation.</w:t>
      </w:r>
    </w:p>
    <w:p w14:paraId="62515DDC" w14:textId="77777777" w:rsidR="00467B48" w:rsidRPr="003E5AF8" w:rsidRDefault="00467B48" w:rsidP="00E271E2">
      <w:pPr>
        <w:spacing w:after="0" w:line="240" w:lineRule="auto"/>
        <w:jc w:val="both"/>
        <w:rPr>
          <w:rFonts w:ascii="Arial" w:hAnsi="Arial" w:cs="Arial"/>
          <w:color w:val="000000" w:themeColor="text1"/>
          <w:sz w:val="20"/>
          <w:szCs w:val="20"/>
          <w:lang w:val="en-US"/>
        </w:rPr>
      </w:pPr>
    </w:p>
    <w:p w14:paraId="6EDD7068" w14:textId="4828E53C" w:rsidR="00EF28BE" w:rsidRPr="003E5AF8" w:rsidRDefault="00EF28BE" w:rsidP="00E271E2">
      <w:pPr>
        <w:spacing w:after="0" w:line="240" w:lineRule="auto"/>
        <w:jc w:val="both"/>
        <w:rPr>
          <w:rFonts w:ascii="Century Gothic" w:hAnsi="Century Gothic" w:cs="Arial"/>
          <w:b/>
          <w:bCs/>
          <w:color w:val="000000" w:themeColor="text1"/>
        </w:rPr>
      </w:pPr>
      <w:r w:rsidRPr="003E5AF8">
        <w:rPr>
          <w:rFonts w:ascii="Century Gothic" w:hAnsi="Century Gothic" w:cs="Arial"/>
          <w:b/>
          <w:bCs/>
          <w:color w:val="000000" w:themeColor="text1"/>
        </w:rPr>
        <w:t>Introducción</w:t>
      </w:r>
    </w:p>
    <w:p w14:paraId="567FC808" w14:textId="77777777" w:rsidR="003014E9" w:rsidRPr="003014E9" w:rsidRDefault="003014E9" w:rsidP="003014E9">
      <w:pPr>
        <w:spacing w:after="0" w:line="240" w:lineRule="auto"/>
        <w:ind w:firstLine="709"/>
        <w:jc w:val="both"/>
        <w:rPr>
          <w:rFonts w:ascii="Arial" w:hAnsi="Arial" w:cs="Arial"/>
          <w:bCs/>
          <w:color w:val="000000" w:themeColor="text1"/>
          <w:sz w:val="20"/>
          <w:lang w:val="es-MX"/>
        </w:rPr>
      </w:pPr>
      <w:r w:rsidRPr="003014E9">
        <w:rPr>
          <w:rFonts w:ascii="Arial" w:hAnsi="Arial" w:cs="Arial"/>
          <w:bCs/>
          <w:color w:val="000000" w:themeColor="text1"/>
          <w:sz w:val="20"/>
          <w:lang w:val="es-MX"/>
        </w:rPr>
        <w:t>La nueva gestión pública, caracterizada por la transición desde una lógica administrativa tradicional hacia un enfoque gerencial orientado al mercado, ha provocado transformaciones sustanciales en los procedimientos, las cadenas operativas y las redes de interacción entre instituciones públicas (Grossi &amp; Argento, 2022). Esta evolución ha generado una tensión constante entre la lógica empresarial y los intereses sociales, además de enfrentar limitaciones en las capacidades innovadoras del aparato estatal (Thabit et al., 2025).</w:t>
      </w:r>
    </w:p>
    <w:p w14:paraId="7F29C227" w14:textId="77777777" w:rsidR="003014E9" w:rsidRPr="003014E9" w:rsidRDefault="003014E9" w:rsidP="003014E9">
      <w:pPr>
        <w:spacing w:after="0" w:line="240" w:lineRule="auto"/>
        <w:ind w:firstLine="709"/>
        <w:jc w:val="both"/>
        <w:rPr>
          <w:rFonts w:ascii="Arial" w:hAnsi="Arial" w:cs="Arial"/>
          <w:bCs/>
          <w:color w:val="000000" w:themeColor="text1"/>
          <w:sz w:val="20"/>
          <w:lang w:val="es-MX"/>
        </w:rPr>
      </w:pPr>
      <w:r w:rsidRPr="003014E9">
        <w:rPr>
          <w:rFonts w:ascii="Arial" w:hAnsi="Arial" w:cs="Arial"/>
          <w:bCs/>
          <w:color w:val="000000" w:themeColor="text1"/>
          <w:sz w:val="20"/>
          <w:lang w:val="es-MX"/>
        </w:rPr>
        <w:t>En este escenario, la buena gobernanza desempeña un papel fundamental en la gestión pública, al fortalecer la toma de decisiones mediante principios como la transparencia, la participación ciudadana, la rendición de cuentas, el respeto al Estado de derecho, el profesionalismo y la incorporación de tecnologías (Risna, 2023; Lawal et al., 2024). Su éxito depende de la constante adaptación e innovación frente a las cambiantes demandas sociales, económicas y tecnológicas (Meuleman, 2021; Ulnicane et al., 2021).</w:t>
      </w:r>
    </w:p>
    <w:p w14:paraId="000A5DEA" w14:textId="77777777" w:rsidR="003014E9" w:rsidRPr="003014E9" w:rsidRDefault="003014E9" w:rsidP="003014E9">
      <w:pPr>
        <w:spacing w:after="0" w:line="240" w:lineRule="auto"/>
        <w:ind w:firstLine="709"/>
        <w:jc w:val="both"/>
        <w:rPr>
          <w:rFonts w:ascii="Arial" w:hAnsi="Arial" w:cs="Arial"/>
          <w:bCs/>
          <w:color w:val="000000" w:themeColor="text1"/>
          <w:sz w:val="20"/>
          <w:lang w:val="es-MX"/>
        </w:rPr>
      </w:pPr>
      <w:r w:rsidRPr="003014E9">
        <w:rPr>
          <w:rFonts w:ascii="Arial" w:hAnsi="Arial" w:cs="Arial"/>
          <w:bCs/>
          <w:color w:val="000000" w:themeColor="text1"/>
          <w:sz w:val="20"/>
          <w:lang w:val="es-MX"/>
        </w:rPr>
        <w:t>Por otra parte, la integración de herramientas tecnológicas no solo optimiza los procesos administrativos, sino que también amplía los espacios de participación comunitaria en la planificación y la toma de decisiones (Di Vaio et al., 2021). Esta interacción contribuye a fortalecer la eficiencia, la eficacia y la equidad en la prestación de servicios públicos, avanzando hacia una gobernanza más democrática y centrada en el ciudadano (Birkstedt et al., 2023).</w:t>
      </w:r>
    </w:p>
    <w:p w14:paraId="28C18458" w14:textId="77777777" w:rsidR="003014E9" w:rsidRPr="003014E9" w:rsidRDefault="003014E9" w:rsidP="003014E9">
      <w:pPr>
        <w:spacing w:after="0" w:line="240" w:lineRule="auto"/>
        <w:ind w:firstLine="709"/>
        <w:jc w:val="both"/>
        <w:rPr>
          <w:rFonts w:ascii="Arial" w:hAnsi="Arial" w:cs="Arial"/>
          <w:bCs/>
          <w:color w:val="000000" w:themeColor="text1"/>
          <w:sz w:val="20"/>
          <w:lang w:val="es-MX"/>
        </w:rPr>
      </w:pPr>
      <w:r w:rsidRPr="003014E9">
        <w:rPr>
          <w:rFonts w:ascii="Arial" w:hAnsi="Arial" w:cs="Arial"/>
          <w:bCs/>
          <w:color w:val="000000" w:themeColor="text1"/>
          <w:sz w:val="20"/>
          <w:lang w:val="es-MX"/>
        </w:rPr>
        <w:t>Desde una perspectiva político-administrativa, la gestión pública implica una acción estatal que abarca múltiples sectores, donde la sociedad civil juega un rol clave (Risna, 2023; Lawal et al., 2024). En este marco, se destacan estándares de gobernanza relacionados con la transparencia, la eficiencia y el respeto al Estado de derecho (Zuiderwijk et al., 2021).</w:t>
      </w:r>
    </w:p>
    <w:p w14:paraId="22FEEF80" w14:textId="77777777" w:rsidR="003014E9" w:rsidRPr="003014E9" w:rsidRDefault="003014E9" w:rsidP="003014E9">
      <w:pPr>
        <w:spacing w:after="0" w:line="240" w:lineRule="auto"/>
        <w:ind w:firstLine="709"/>
        <w:jc w:val="both"/>
        <w:rPr>
          <w:rFonts w:ascii="Arial" w:hAnsi="Arial" w:cs="Arial"/>
          <w:bCs/>
          <w:color w:val="000000" w:themeColor="text1"/>
          <w:sz w:val="20"/>
          <w:lang w:val="es-MX"/>
        </w:rPr>
      </w:pPr>
      <w:r w:rsidRPr="003014E9">
        <w:rPr>
          <w:rFonts w:ascii="Arial" w:hAnsi="Arial" w:cs="Arial"/>
          <w:bCs/>
          <w:color w:val="000000" w:themeColor="text1"/>
          <w:sz w:val="20"/>
          <w:lang w:val="es-MX"/>
        </w:rPr>
        <w:t>Asimismo, la gobernanza, concebida como un proceso dinámico e inclusivo, involucra a diversos actores en la formulación, implementación y evaluación de políticas públicas (Riski, 2025). Una gobernanza eficaz promueve mecanismos que benefician a los ciudadanos, equilibran los poderes y fortalecen la confianza en las instituciones (Meuleman, 2021; Grossman &amp; Slough, 2022).</w:t>
      </w:r>
    </w:p>
    <w:p w14:paraId="2936C636" w14:textId="77777777" w:rsidR="003014E9" w:rsidRPr="003014E9" w:rsidRDefault="003014E9" w:rsidP="003014E9">
      <w:pPr>
        <w:spacing w:after="0" w:line="240" w:lineRule="auto"/>
        <w:ind w:firstLine="709"/>
        <w:jc w:val="both"/>
        <w:rPr>
          <w:rFonts w:ascii="Arial" w:hAnsi="Arial" w:cs="Arial"/>
          <w:bCs/>
          <w:color w:val="000000" w:themeColor="text1"/>
          <w:sz w:val="20"/>
          <w:lang w:val="es-MX"/>
        </w:rPr>
      </w:pPr>
      <w:r w:rsidRPr="003014E9">
        <w:rPr>
          <w:rFonts w:ascii="Arial" w:hAnsi="Arial" w:cs="Arial"/>
          <w:bCs/>
          <w:color w:val="000000" w:themeColor="text1"/>
          <w:sz w:val="20"/>
          <w:lang w:val="es-MX"/>
        </w:rPr>
        <w:t>En consecuencia, la gobernanza se configura como una herramienta estratégica para el desarrollo del poder social, pues permite que la ciudadanía influya en la orientación de las decisiones públicas (Chang &amp; Brewer, 2023). Esto abre la puerta a transformaciones políticas, económicas y sociales, siempre que exista una articulación efectiva entre los sectores público, privado y social (Haug et al., 2024).</w:t>
      </w:r>
    </w:p>
    <w:p w14:paraId="355ECEC0" w14:textId="39D43768" w:rsidR="003014E9" w:rsidRPr="003014E9" w:rsidRDefault="003014E9" w:rsidP="003014E9">
      <w:pPr>
        <w:spacing w:after="0" w:line="240" w:lineRule="auto"/>
        <w:ind w:firstLine="709"/>
        <w:jc w:val="both"/>
        <w:rPr>
          <w:rFonts w:ascii="Arial" w:hAnsi="Arial" w:cs="Arial"/>
          <w:bCs/>
          <w:color w:val="000000" w:themeColor="text1"/>
          <w:sz w:val="20"/>
          <w:lang w:val="es-MX"/>
        </w:rPr>
      </w:pPr>
      <w:r w:rsidRPr="003014E9">
        <w:rPr>
          <w:rFonts w:ascii="Arial" w:hAnsi="Arial" w:cs="Arial"/>
          <w:bCs/>
          <w:color w:val="000000" w:themeColor="text1"/>
          <w:sz w:val="20"/>
          <w:lang w:val="es-MX"/>
        </w:rPr>
        <w:t>No obstante, uno de los principales desafíos actuales radica en la limitada capacidad de diversos gestores públicos para adoptar enfoques innovadores en la administración de los recursos estatales (</w:t>
      </w:r>
      <w:r w:rsidR="00075878" w:rsidRPr="00075878">
        <w:rPr>
          <w:rFonts w:ascii="Arial" w:hAnsi="Arial" w:cs="Arial"/>
          <w:bCs/>
          <w:color w:val="000000" w:themeColor="text1"/>
          <w:sz w:val="20"/>
          <w:lang w:val="es-MX"/>
        </w:rPr>
        <w:t>Verma</w:t>
      </w:r>
      <w:r w:rsidRPr="003014E9">
        <w:rPr>
          <w:rFonts w:ascii="Arial" w:hAnsi="Arial" w:cs="Arial"/>
          <w:bCs/>
          <w:color w:val="000000" w:themeColor="text1"/>
          <w:sz w:val="20"/>
          <w:lang w:val="es-MX"/>
        </w:rPr>
        <w:t>, 2022). Esta situación puede debilitar los principios de buena gobernanza, especialmente en contextos adversos donde la ineficiencia institucional afecta la legitimidad (Tomaževič et al., 2023).</w:t>
      </w:r>
    </w:p>
    <w:p w14:paraId="112E5A05" w14:textId="77777777" w:rsidR="003014E9" w:rsidRPr="003014E9" w:rsidRDefault="003014E9" w:rsidP="003014E9">
      <w:pPr>
        <w:spacing w:after="0" w:line="240" w:lineRule="auto"/>
        <w:ind w:firstLine="709"/>
        <w:jc w:val="both"/>
        <w:rPr>
          <w:rFonts w:ascii="Arial" w:hAnsi="Arial" w:cs="Arial"/>
          <w:bCs/>
          <w:color w:val="000000" w:themeColor="text1"/>
          <w:sz w:val="20"/>
          <w:lang w:val="es-MX"/>
        </w:rPr>
      </w:pPr>
      <w:r w:rsidRPr="003014E9">
        <w:rPr>
          <w:rFonts w:ascii="Arial" w:hAnsi="Arial" w:cs="Arial"/>
          <w:bCs/>
          <w:color w:val="000000" w:themeColor="text1"/>
          <w:sz w:val="20"/>
          <w:lang w:val="es-MX"/>
        </w:rPr>
        <w:t>Por ello, resulta crucial que los países fortalezcan sus estructuras de gobernanza ante el avance tecnológico y la creciente complejidad de los problemas públicos (Ferreira &amp; Santos, 2025). Las innovaciones impulsan cambios significativos en la formulación de políticas, pero también exigen que los modelos de gobernanza incorporen dimensiones políticas para comprender cabalmente las prácticas de gestión pública y mejorarlas (Filgueiras et al., 2023).</w:t>
      </w:r>
    </w:p>
    <w:p w14:paraId="3A40231F" w14:textId="23929E98" w:rsidR="003014E9" w:rsidRDefault="003014E9" w:rsidP="003014E9">
      <w:pPr>
        <w:spacing w:after="0" w:line="240" w:lineRule="auto"/>
        <w:ind w:firstLine="709"/>
        <w:jc w:val="both"/>
        <w:rPr>
          <w:rFonts w:ascii="Arial" w:hAnsi="Arial" w:cs="Arial"/>
          <w:bCs/>
          <w:color w:val="000000" w:themeColor="text1"/>
          <w:sz w:val="20"/>
          <w:lang w:val="es-MX"/>
        </w:rPr>
      </w:pPr>
      <w:r w:rsidRPr="003014E9">
        <w:rPr>
          <w:rFonts w:ascii="Arial" w:hAnsi="Arial" w:cs="Arial"/>
          <w:bCs/>
          <w:color w:val="000000" w:themeColor="text1"/>
          <w:sz w:val="20"/>
          <w:lang w:val="es-MX"/>
        </w:rPr>
        <w:t>En esta línea, el presente estudio busca identificar los modelos de gobernanza aplicados en la gestión pública contemporánea, así como analizar los factores determinantes para su aplicación y los principales desafíos en dicho proceso.</w:t>
      </w:r>
    </w:p>
    <w:p w14:paraId="4ADAEF74" w14:textId="2245CA78" w:rsidR="002F1590" w:rsidRDefault="002F1590" w:rsidP="002F1590">
      <w:pPr>
        <w:spacing w:after="0" w:line="240" w:lineRule="auto"/>
        <w:jc w:val="both"/>
        <w:rPr>
          <w:rFonts w:ascii="Arial" w:hAnsi="Arial" w:cs="Arial"/>
          <w:bCs/>
          <w:color w:val="000000" w:themeColor="text1"/>
          <w:sz w:val="20"/>
          <w:lang w:val="es-MX"/>
        </w:rPr>
      </w:pPr>
    </w:p>
    <w:p w14:paraId="5184F768" w14:textId="77777777" w:rsidR="002F1590" w:rsidRPr="002F1590" w:rsidRDefault="002F1590" w:rsidP="002F1590">
      <w:pPr>
        <w:spacing w:after="0" w:line="240" w:lineRule="auto"/>
        <w:jc w:val="both"/>
        <w:rPr>
          <w:rFonts w:ascii="Century Gothic" w:hAnsi="Century Gothic" w:cs="Arial"/>
          <w:b/>
          <w:bCs/>
          <w:color w:val="000000" w:themeColor="text1"/>
          <w:lang w:val="es-MX"/>
        </w:rPr>
      </w:pPr>
      <w:r w:rsidRPr="002F1590">
        <w:rPr>
          <w:rFonts w:ascii="Century Gothic" w:hAnsi="Century Gothic" w:cs="Arial"/>
          <w:b/>
          <w:bCs/>
          <w:color w:val="000000" w:themeColor="text1"/>
          <w:lang w:val="es-MX"/>
        </w:rPr>
        <w:t>Metodología</w:t>
      </w:r>
    </w:p>
    <w:p w14:paraId="751437BB" w14:textId="0FF228EF" w:rsidR="002F1590" w:rsidRDefault="002F1590" w:rsidP="002F1590">
      <w:pPr>
        <w:spacing w:after="0" w:line="240" w:lineRule="auto"/>
        <w:ind w:firstLine="709"/>
        <w:jc w:val="both"/>
        <w:rPr>
          <w:rFonts w:ascii="Arial" w:hAnsi="Arial" w:cs="Arial"/>
          <w:bCs/>
          <w:color w:val="000000" w:themeColor="text1"/>
          <w:sz w:val="20"/>
          <w:lang w:val="es-MX"/>
        </w:rPr>
      </w:pPr>
      <w:r w:rsidRPr="002F1590">
        <w:rPr>
          <w:rFonts w:ascii="Arial" w:hAnsi="Arial" w:cs="Arial"/>
          <w:bCs/>
          <w:color w:val="000000" w:themeColor="text1"/>
          <w:sz w:val="20"/>
          <w:lang w:val="es-MX"/>
        </w:rPr>
        <w:t xml:space="preserve">En este artículo se llevó a cabo una revisión sistemática junto con un análisis bibliométrico, siguiendo el método PRISMA propuesto por Mishra </w:t>
      </w:r>
      <w:r w:rsidR="003505F2">
        <w:rPr>
          <w:rFonts w:ascii="Arial" w:hAnsi="Arial" w:cs="Arial"/>
          <w:bCs/>
          <w:color w:val="000000" w:themeColor="text1"/>
          <w:sz w:val="20"/>
          <w:lang w:val="es-MX"/>
        </w:rPr>
        <w:t>&amp;</w:t>
      </w:r>
      <w:r w:rsidRPr="002F1590">
        <w:rPr>
          <w:rFonts w:ascii="Arial" w:hAnsi="Arial" w:cs="Arial"/>
          <w:bCs/>
          <w:color w:val="000000" w:themeColor="text1"/>
          <w:sz w:val="20"/>
          <w:lang w:val="es-MX"/>
        </w:rPr>
        <w:t xml:space="preserve"> Mishra (2023). </w:t>
      </w:r>
      <w:r w:rsidRPr="003505F2">
        <w:rPr>
          <w:rFonts w:ascii="Arial" w:hAnsi="Arial" w:cs="Arial"/>
          <w:bCs/>
          <w:color w:val="000000" w:themeColor="text1"/>
          <w:sz w:val="20"/>
          <w:lang w:val="es-MX"/>
        </w:rPr>
        <w:t xml:space="preserve">Con el fin de estructurar de manera coherente y temática </w:t>
      </w:r>
      <w:r w:rsidRPr="003505F2">
        <w:rPr>
          <w:rFonts w:ascii="Arial" w:hAnsi="Arial" w:cs="Arial"/>
          <w:bCs/>
          <w:color w:val="000000" w:themeColor="text1"/>
          <w:sz w:val="20"/>
          <w:lang w:val="es-MX"/>
        </w:rPr>
        <w:lastRenderedPageBreak/>
        <w:t>la base de datos analizada, se plantearon tres preguntas de investigación que guían el desarrollo del estudio y permiten identificar patrones, vacíos y tendencias en la literatura especializada:</w:t>
      </w:r>
    </w:p>
    <w:p w14:paraId="58191EBB" w14:textId="77777777" w:rsidR="003505F2" w:rsidRPr="003505F2" w:rsidRDefault="003505F2" w:rsidP="002F1590">
      <w:pPr>
        <w:spacing w:after="0" w:line="240" w:lineRule="auto"/>
        <w:ind w:firstLine="709"/>
        <w:jc w:val="both"/>
        <w:rPr>
          <w:rFonts w:ascii="Arial" w:hAnsi="Arial" w:cs="Arial"/>
          <w:bCs/>
          <w:color w:val="000000" w:themeColor="text1"/>
          <w:sz w:val="20"/>
          <w:lang w:val="es-MX"/>
        </w:rPr>
      </w:pPr>
    </w:p>
    <w:p w14:paraId="23AAF0CE" w14:textId="77777777" w:rsidR="002F1590" w:rsidRPr="00D70EF5" w:rsidRDefault="002F1590" w:rsidP="00D70EF5">
      <w:pPr>
        <w:pStyle w:val="Prrafodelista"/>
        <w:numPr>
          <w:ilvl w:val="0"/>
          <w:numId w:val="28"/>
        </w:numPr>
        <w:spacing w:after="0" w:line="240" w:lineRule="auto"/>
        <w:ind w:left="1134" w:hanging="436"/>
        <w:jc w:val="both"/>
        <w:rPr>
          <w:rFonts w:ascii="Arial" w:hAnsi="Arial" w:cs="Arial"/>
          <w:bCs/>
          <w:color w:val="000000" w:themeColor="text1"/>
          <w:sz w:val="20"/>
          <w:lang w:val="es-MX"/>
        </w:rPr>
      </w:pPr>
      <w:r w:rsidRPr="00D70EF5">
        <w:rPr>
          <w:rFonts w:ascii="Arial" w:hAnsi="Arial" w:cs="Arial"/>
          <w:bCs/>
          <w:color w:val="000000" w:themeColor="text1"/>
          <w:sz w:val="20"/>
          <w:lang w:val="es-MX"/>
        </w:rPr>
        <w:t>¿Qué modelos de gobernanza se han aplicado en la gestión pública en los últimos años y cuáles son sus características principales?</w:t>
      </w:r>
    </w:p>
    <w:p w14:paraId="6FE4C9A7" w14:textId="77777777" w:rsidR="002F1590" w:rsidRPr="00D70EF5" w:rsidRDefault="002F1590" w:rsidP="00D70EF5">
      <w:pPr>
        <w:pStyle w:val="Prrafodelista"/>
        <w:numPr>
          <w:ilvl w:val="0"/>
          <w:numId w:val="28"/>
        </w:numPr>
        <w:spacing w:after="0" w:line="240" w:lineRule="auto"/>
        <w:ind w:left="1134" w:hanging="436"/>
        <w:jc w:val="both"/>
        <w:rPr>
          <w:rFonts w:ascii="Arial" w:hAnsi="Arial" w:cs="Arial"/>
          <w:bCs/>
          <w:color w:val="000000" w:themeColor="text1"/>
          <w:sz w:val="20"/>
          <w:lang w:val="es-MX"/>
        </w:rPr>
      </w:pPr>
      <w:r w:rsidRPr="00D70EF5">
        <w:rPr>
          <w:rFonts w:ascii="Arial" w:hAnsi="Arial" w:cs="Arial"/>
          <w:bCs/>
          <w:color w:val="000000" w:themeColor="text1"/>
          <w:sz w:val="20"/>
          <w:lang w:val="es-MX"/>
        </w:rPr>
        <w:t>¿Cuáles son los factores que condicionan el éxito o fracaso de dichos modelos en contextos de gestión pública?</w:t>
      </w:r>
    </w:p>
    <w:p w14:paraId="3718FC10" w14:textId="2846D47A" w:rsidR="002F1590" w:rsidRPr="00D70EF5" w:rsidRDefault="002F1590" w:rsidP="00D70EF5">
      <w:pPr>
        <w:pStyle w:val="Prrafodelista"/>
        <w:numPr>
          <w:ilvl w:val="0"/>
          <w:numId w:val="28"/>
        </w:numPr>
        <w:spacing w:after="0" w:line="240" w:lineRule="auto"/>
        <w:ind w:left="1134" w:hanging="436"/>
        <w:jc w:val="both"/>
        <w:rPr>
          <w:rFonts w:ascii="Arial" w:hAnsi="Arial" w:cs="Arial"/>
          <w:bCs/>
          <w:color w:val="000000" w:themeColor="text1"/>
          <w:sz w:val="20"/>
          <w:lang w:val="es-MX"/>
        </w:rPr>
      </w:pPr>
      <w:r w:rsidRPr="00D70EF5">
        <w:rPr>
          <w:rFonts w:ascii="Arial" w:hAnsi="Arial" w:cs="Arial"/>
          <w:bCs/>
          <w:color w:val="000000" w:themeColor="text1"/>
          <w:sz w:val="20"/>
          <w:lang w:val="es-MX"/>
        </w:rPr>
        <w:t>¿Qué indicadores se emplean para medir la efectividad de estos modelos en la gestión pública?</w:t>
      </w:r>
    </w:p>
    <w:p w14:paraId="40520CAF" w14:textId="77777777" w:rsidR="003505F2" w:rsidRPr="003505F2" w:rsidRDefault="003505F2" w:rsidP="00D70EF5">
      <w:pPr>
        <w:spacing w:after="0" w:line="240" w:lineRule="auto"/>
        <w:ind w:left="1429"/>
        <w:jc w:val="both"/>
        <w:rPr>
          <w:rFonts w:ascii="Arial" w:hAnsi="Arial" w:cs="Arial"/>
          <w:bCs/>
          <w:color w:val="000000" w:themeColor="text1"/>
          <w:sz w:val="20"/>
          <w:lang w:val="es-MX"/>
        </w:rPr>
      </w:pPr>
    </w:p>
    <w:p w14:paraId="548AB6F8" w14:textId="3AA4C8DF" w:rsidR="002F1590" w:rsidRDefault="002F1590" w:rsidP="002F1590">
      <w:pPr>
        <w:spacing w:after="0" w:line="240" w:lineRule="auto"/>
        <w:ind w:firstLine="709"/>
        <w:jc w:val="both"/>
        <w:rPr>
          <w:rFonts w:ascii="Arial" w:hAnsi="Arial" w:cs="Arial"/>
          <w:bCs/>
          <w:color w:val="000000" w:themeColor="text1"/>
          <w:sz w:val="20"/>
          <w:lang w:val="es-MX"/>
        </w:rPr>
      </w:pPr>
      <w:r w:rsidRPr="003505F2">
        <w:rPr>
          <w:rFonts w:ascii="Arial" w:hAnsi="Arial" w:cs="Arial"/>
          <w:bCs/>
          <w:color w:val="000000" w:themeColor="text1"/>
          <w:sz w:val="20"/>
          <w:lang w:val="es-MX"/>
        </w:rPr>
        <w:t>Para la búsqueda de información se utilizaron las bases de datos Google Académico y Scopus, seleccionadas por su amplia cobertura de literatura científica relevante en el ámbito de la gobernanza pública. La Tabla 1 presenta las palabras clave empleadas junto con los operadores booleanos (</w:t>
      </w:r>
      <w:r w:rsidRPr="00D70EF5">
        <w:rPr>
          <w:rFonts w:ascii="Arial" w:hAnsi="Arial" w:cs="Arial"/>
          <w:bCs/>
          <w:i/>
          <w:color w:val="000000" w:themeColor="text1"/>
          <w:sz w:val="20"/>
          <w:lang w:val="es-MX"/>
        </w:rPr>
        <w:t>AND, OR, NOT</w:t>
      </w:r>
      <w:r w:rsidRPr="003505F2">
        <w:rPr>
          <w:rFonts w:ascii="Arial" w:hAnsi="Arial" w:cs="Arial"/>
          <w:bCs/>
          <w:color w:val="000000" w:themeColor="text1"/>
          <w:sz w:val="20"/>
          <w:lang w:val="es-MX"/>
        </w:rPr>
        <w:t>), así como los criterios de búsqueda avanzada incluidos.</w:t>
      </w:r>
    </w:p>
    <w:p w14:paraId="5EBAE847" w14:textId="3B83B21F" w:rsidR="00D70EF5" w:rsidRDefault="00D70EF5" w:rsidP="00D70EF5">
      <w:pPr>
        <w:spacing w:after="0" w:line="240" w:lineRule="auto"/>
        <w:jc w:val="both"/>
        <w:rPr>
          <w:rFonts w:ascii="Arial" w:hAnsi="Arial" w:cs="Arial"/>
          <w:bCs/>
          <w:color w:val="000000" w:themeColor="text1"/>
          <w:sz w:val="20"/>
          <w:lang w:val="es-MX"/>
        </w:rPr>
      </w:pPr>
    </w:p>
    <w:p w14:paraId="0C2570F3" w14:textId="58E4529A" w:rsidR="00D70EF5" w:rsidRPr="00D70EF5" w:rsidRDefault="00D70EF5" w:rsidP="00D70EF5">
      <w:pPr>
        <w:spacing w:after="0" w:line="240" w:lineRule="auto"/>
        <w:jc w:val="both"/>
        <w:rPr>
          <w:rFonts w:ascii="Arial" w:hAnsi="Arial" w:cs="Arial"/>
          <w:b/>
          <w:bCs/>
          <w:color w:val="000000" w:themeColor="text1"/>
          <w:sz w:val="20"/>
          <w:lang w:val="es"/>
        </w:rPr>
      </w:pPr>
      <w:r>
        <w:rPr>
          <w:rFonts w:ascii="Arial" w:hAnsi="Arial" w:cs="Arial"/>
          <w:b/>
          <w:bCs/>
          <w:color w:val="000000" w:themeColor="text1"/>
          <w:sz w:val="20"/>
          <w:lang w:val="es"/>
        </w:rPr>
        <w:t>Tabla 1</w:t>
      </w:r>
    </w:p>
    <w:p w14:paraId="136AC97C" w14:textId="2C098B6E" w:rsidR="00D70EF5" w:rsidRDefault="00D70EF5" w:rsidP="00D70EF5">
      <w:pPr>
        <w:spacing w:after="0" w:line="240" w:lineRule="auto"/>
        <w:jc w:val="both"/>
        <w:rPr>
          <w:rFonts w:ascii="Arial" w:hAnsi="Arial" w:cs="Arial"/>
          <w:bCs/>
          <w:i/>
          <w:color w:val="000000" w:themeColor="text1"/>
          <w:sz w:val="20"/>
          <w:lang w:val="es"/>
        </w:rPr>
      </w:pPr>
      <w:r w:rsidRPr="00D70EF5">
        <w:rPr>
          <w:rFonts w:ascii="Arial" w:hAnsi="Arial" w:cs="Arial"/>
          <w:bCs/>
          <w:i/>
          <w:color w:val="000000" w:themeColor="text1"/>
          <w:sz w:val="20"/>
          <w:lang w:val="es"/>
        </w:rPr>
        <w:t>Búsqueda sistemática de artículos</w:t>
      </w:r>
    </w:p>
    <w:p w14:paraId="0536CF7C" w14:textId="77777777" w:rsidR="00D70EF5" w:rsidRPr="00D70EF5" w:rsidRDefault="00D70EF5" w:rsidP="00D70EF5">
      <w:pPr>
        <w:spacing w:after="0" w:line="240" w:lineRule="auto"/>
        <w:jc w:val="both"/>
        <w:rPr>
          <w:rFonts w:ascii="Arial" w:hAnsi="Arial" w:cs="Arial"/>
          <w:bCs/>
          <w:i/>
          <w:color w:val="000000" w:themeColor="text1"/>
          <w:sz w:val="20"/>
          <w:lang w:val="es"/>
        </w:rPr>
      </w:pPr>
    </w:p>
    <w:tbl>
      <w:tblPr>
        <w:tblStyle w:val="Tablanormal2"/>
        <w:tblW w:w="5000" w:type="pct"/>
        <w:tblLook w:val="0400" w:firstRow="0" w:lastRow="0" w:firstColumn="0" w:lastColumn="0" w:noHBand="0" w:noVBand="1"/>
      </w:tblPr>
      <w:tblGrid>
        <w:gridCol w:w="1997"/>
        <w:gridCol w:w="4826"/>
        <w:gridCol w:w="3149"/>
      </w:tblGrid>
      <w:tr w:rsidR="00D70EF5" w:rsidRPr="00D70EF5" w14:paraId="2A1F133C" w14:textId="77777777" w:rsidTr="00D70EF5">
        <w:trPr>
          <w:cnfStyle w:val="000000100000" w:firstRow="0" w:lastRow="0" w:firstColumn="0" w:lastColumn="0" w:oddVBand="0" w:evenVBand="0" w:oddHBand="1" w:evenHBand="0" w:firstRowFirstColumn="0" w:firstRowLastColumn="0" w:lastRowFirstColumn="0" w:lastRowLastColumn="0"/>
          <w:trHeight w:val="283"/>
        </w:trPr>
        <w:tc>
          <w:tcPr>
            <w:tcW w:w="1001" w:type="pct"/>
            <w:shd w:val="clear" w:color="auto" w:fill="F2F2F2" w:themeFill="background1" w:themeFillShade="F2"/>
            <w:vAlign w:val="center"/>
          </w:tcPr>
          <w:p w14:paraId="02C05E29" w14:textId="77777777" w:rsidR="00D70EF5" w:rsidRPr="00D70EF5" w:rsidRDefault="00D70EF5" w:rsidP="00D70EF5">
            <w:pPr>
              <w:spacing w:after="0" w:line="240" w:lineRule="auto"/>
              <w:jc w:val="center"/>
              <w:rPr>
                <w:rFonts w:ascii="Arial" w:hAnsi="Arial" w:cs="Arial"/>
                <w:b/>
                <w:bCs/>
                <w:color w:val="000000" w:themeColor="text1"/>
                <w:sz w:val="18"/>
                <w:lang w:val="es"/>
              </w:rPr>
            </w:pPr>
            <w:r w:rsidRPr="00D70EF5">
              <w:rPr>
                <w:rFonts w:ascii="Arial" w:hAnsi="Arial" w:cs="Arial"/>
                <w:b/>
                <w:bCs/>
                <w:color w:val="000000" w:themeColor="text1"/>
                <w:sz w:val="18"/>
                <w:lang w:val="es"/>
              </w:rPr>
              <w:t>Bases de datos</w:t>
            </w:r>
          </w:p>
        </w:tc>
        <w:tc>
          <w:tcPr>
            <w:tcW w:w="2420" w:type="pct"/>
            <w:shd w:val="clear" w:color="auto" w:fill="F2F2F2" w:themeFill="background1" w:themeFillShade="F2"/>
            <w:vAlign w:val="center"/>
          </w:tcPr>
          <w:p w14:paraId="28E902A5" w14:textId="77777777" w:rsidR="00D70EF5" w:rsidRPr="00D70EF5" w:rsidRDefault="00D70EF5" w:rsidP="00D70EF5">
            <w:pPr>
              <w:spacing w:after="0" w:line="240" w:lineRule="auto"/>
              <w:jc w:val="center"/>
              <w:rPr>
                <w:rFonts w:ascii="Arial" w:hAnsi="Arial" w:cs="Arial"/>
                <w:b/>
                <w:bCs/>
                <w:color w:val="000000" w:themeColor="text1"/>
                <w:sz w:val="18"/>
                <w:lang w:val="es"/>
              </w:rPr>
            </w:pPr>
            <w:r w:rsidRPr="00D70EF5">
              <w:rPr>
                <w:rFonts w:ascii="Arial" w:hAnsi="Arial" w:cs="Arial"/>
                <w:b/>
                <w:bCs/>
                <w:color w:val="000000" w:themeColor="text1"/>
                <w:sz w:val="18"/>
                <w:lang w:val="es"/>
              </w:rPr>
              <w:t>Palabras clave</w:t>
            </w:r>
          </w:p>
        </w:tc>
        <w:tc>
          <w:tcPr>
            <w:tcW w:w="1579" w:type="pct"/>
            <w:shd w:val="clear" w:color="auto" w:fill="F2F2F2" w:themeFill="background1" w:themeFillShade="F2"/>
            <w:vAlign w:val="center"/>
          </w:tcPr>
          <w:p w14:paraId="0E172CD1" w14:textId="77777777" w:rsidR="00D70EF5" w:rsidRPr="00D70EF5" w:rsidRDefault="00D70EF5" w:rsidP="00D70EF5">
            <w:pPr>
              <w:spacing w:after="0" w:line="240" w:lineRule="auto"/>
              <w:jc w:val="center"/>
              <w:rPr>
                <w:rFonts w:ascii="Arial" w:hAnsi="Arial" w:cs="Arial"/>
                <w:b/>
                <w:bCs/>
                <w:color w:val="000000" w:themeColor="text1"/>
                <w:sz w:val="18"/>
                <w:lang w:val="es"/>
              </w:rPr>
            </w:pPr>
            <w:r w:rsidRPr="00D70EF5">
              <w:rPr>
                <w:rFonts w:ascii="Arial" w:hAnsi="Arial" w:cs="Arial"/>
                <w:b/>
                <w:bCs/>
                <w:color w:val="000000" w:themeColor="text1"/>
                <w:sz w:val="18"/>
                <w:lang w:val="es"/>
              </w:rPr>
              <w:t>Resultados de búsqueda</w:t>
            </w:r>
          </w:p>
        </w:tc>
      </w:tr>
      <w:tr w:rsidR="00D70EF5" w:rsidRPr="00D70EF5" w14:paraId="2F1D1E9C" w14:textId="77777777" w:rsidTr="00D70EF5">
        <w:trPr>
          <w:trHeight w:val="283"/>
        </w:trPr>
        <w:tc>
          <w:tcPr>
            <w:tcW w:w="1001" w:type="pct"/>
            <w:vMerge w:val="restart"/>
            <w:vAlign w:val="center"/>
          </w:tcPr>
          <w:p w14:paraId="0531BF50" w14:textId="77777777" w:rsidR="00D70EF5" w:rsidRPr="00D70EF5" w:rsidRDefault="00D70EF5" w:rsidP="00D70EF5">
            <w:pPr>
              <w:spacing w:after="0" w:line="240" w:lineRule="auto"/>
              <w:jc w:val="center"/>
              <w:rPr>
                <w:rFonts w:ascii="Arial" w:hAnsi="Arial" w:cs="Arial"/>
                <w:bCs/>
                <w:color w:val="000000" w:themeColor="text1"/>
                <w:sz w:val="18"/>
                <w:lang w:val="es"/>
              </w:rPr>
            </w:pPr>
            <w:r w:rsidRPr="00D70EF5">
              <w:rPr>
                <w:rFonts w:ascii="Arial" w:hAnsi="Arial" w:cs="Arial"/>
                <w:bCs/>
                <w:color w:val="000000" w:themeColor="text1"/>
                <w:sz w:val="18"/>
                <w:lang w:val="es"/>
              </w:rPr>
              <w:t>Google Académico</w:t>
            </w:r>
          </w:p>
        </w:tc>
        <w:tc>
          <w:tcPr>
            <w:tcW w:w="2420" w:type="pct"/>
            <w:vAlign w:val="center"/>
          </w:tcPr>
          <w:p w14:paraId="608523B9" w14:textId="77777777" w:rsidR="00D70EF5" w:rsidRPr="00D70EF5" w:rsidRDefault="00D70EF5" w:rsidP="00D70EF5">
            <w:pPr>
              <w:spacing w:after="0" w:line="240" w:lineRule="auto"/>
              <w:jc w:val="center"/>
              <w:rPr>
                <w:rFonts w:ascii="Arial" w:hAnsi="Arial" w:cs="Arial"/>
                <w:bCs/>
                <w:color w:val="000000" w:themeColor="text1"/>
                <w:sz w:val="18"/>
                <w:lang w:val="es"/>
              </w:rPr>
            </w:pPr>
            <w:r w:rsidRPr="00D70EF5">
              <w:rPr>
                <w:rFonts w:ascii="Arial" w:hAnsi="Arial" w:cs="Arial"/>
                <w:bCs/>
                <w:color w:val="000000" w:themeColor="text1"/>
                <w:sz w:val="18"/>
                <w:lang w:val="es"/>
              </w:rPr>
              <w:t>gobernanza publica AND gestión pública</w:t>
            </w:r>
          </w:p>
        </w:tc>
        <w:tc>
          <w:tcPr>
            <w:tcW w:w="1579" w:type="pct"/>
            <w:vAlign w:val="center"/>
          </w:tcPr>
          <w:p w14:paraId="6EB84ADE" w14:textId="77777777" w:rsidR="00D70EF5" w:rsidRPr="00D70EF5" w:rsidRDefault="00D70EF5" w:rsidP="00D70EF5">
            <w:pPr>
              <w:spacing w:after="0" w:line="240" w:lineRule="auto"/>
              <w:jc w:val="center"/>
              <w:rPr>
                <w:rFonts w:ascii="Arial" w:hAnsi="Arial" w:cs="Arial"/>
                <w:bCs/>
                <w:color w:val="000000" w:themeColor="text1"/>
                <w:sz w:val="18"/>
                <w:lang w:val="es"/>
              </w:rPr>
            </w:pPr>
            <w:r w:rsidRPr="00D70EF5">
              <w:rPr>
                <w:rFonts w:ascii="Arial" w:hAnsi="Arial" w:cs="Arial"/>
                <w:bCs/>
                <w:color w:val="000000" w:themeColor="text1"/>
                <w:sz w:val="18"/>
                <w:lang w:val="es"/>
              </w:rPr>
              <w:t>560</w:t>
            </w:r>
          </w:p>
        </w:tc>
      </w:tr>
      <w:tr w:rsidR="00D70EF5" w:rsidRPr="00D70EF5" w14:paraId="3432824A" w14:textId="77777777" w:rsidTr="00D70EF5">
        <w:trPr>
          <w:cnfStyle w:val="000000100000" w:firstRow="0" w:lastRow="0" w:firstColumn="0" w:lastColumn="0" w:oddVBand="0" w:evenVBand="0" w:oddHBand="1" w:evenHBand="0" w:firstRowFirstColumn="0" w:firstRowLastColumn="0" w:lastRowFirstColumn="0" w:lastRowLastColumn="0"/>
          <w:trHeight w:val="283"/>
        </w:trPr>
        <w:tc>
          <w:tcPr>
            <w:tcW w:w="1001" w:type="pct"/>
            <w:vMerge/>
            <w:vAlign w:val="center"/>
          </w:tcPr>
          <w:p w14:paraId="0B2C192C" w14:textId="77777777" w:rsidR="00D70EF5" w:rsidRPr="00D70EF5" w:rsidRDefault="00D70EF5" w:rsidP="00D70EF5">
            <w:pPr>
              <w:spacing w:after="0" w:line="240" w:lineRule="auto"/>
              <w:jc w:val="center"/>
              <w:rPr>
                <w:rFonts w:ascii="Arial" w:hAnsi="Arial" w:cs="Arial"/>
                <w:bCs/>
                <w:color w:val="000000" w:themeColor="text1"/>
                <w:sz w:val="18"/>
                <w:lang w:val="es"/>
              </w:rPr>
            </w:pPr>
          </w:p>
        </w:tc>
        <w:tc>
          <w:tcPr>
            <w:tcW w:w="2420" w:type="pct"/>
            <w:vAlign w:val="center"/>
          </w:tcPr>
          <w:p w14:paraId="35CE5FF0" w14:textId="77777777" w:rsidR="00D70EF5" w:rsidRPr="00D70EF5" w:rsidRDefault="00D70EF5" w:rsidP="00D70EF5">
            <w:pPr>
              <w:spacing w:after="0" w:line="240" w:lineRule="auto"/>
              <w:jc w:val="center"/>
              <w:rPr>
                <w:rFonts w:ascii="Arial" w:hAnsi="Arial" w:cs="Arial"/>
                <w:bCs/>
                <w:color w:val="000000" w:themeColor="text1"/>
                <w:sz w:val="18"/>
                <w:lang w:val="es"/>
              </w:rPr>
            </w:pPr>
            <w:r w:rsidRPr="00D70EF5">
              <w:rPr>
                <w:rFonts w:ascii="Arial" w:hAnsi="Arial" w:cs="Arial"/>
                <w:bCs/>
                <w:color w:val="000000" w:themeColor="text1"/>
                <w:sz w:val="18"/>
                <w:lang w:val="es"/>
              </w:rPr>
              <w:t>gobernanza pública AND ciudadanía AND tecnología</w:t>
            </w:r>
          </w:p>
        </w:tc>
        <w:tc>
          <w:tcPr>
            <w:tcW w:w="1579" w:type="pct"/>
            <w:vAlign w:val="center"/>
          </w:tcPr>
          <w:p w14:paraId="49434172" w14:textId="5B441DCB" w:rsidR="00D70EF5" w:rsidRPr="00D70EF5" w:rsidRDefault="00D70EF5" w:rsidP="00D70EF5">
            <w:pPr>
              <w:spacing w:after="0" w:line="240" w:lineRule="auto"/>
              <w:jc w:val="center"/>
              <w:rPr>
                <w:rFonts w:ascii="Arial" w:hAnsi="Arial" w:cs="Arial"/>
                <w:bCs/>
                <w:color w:val="000000" w:themeColor="text1"/>
                <w:sz w:val="18"/>
                <w:lang w:val="es"/>
              </w:rPr>
            </w:pPr>
            <w:r w:rsidRPr="00D70EF5">
              <w:rPr>
                <w:rFonts w:ascii="Arial" w:hAnsi="Arial" w:cs="Arial"/>
                <w:bCs/>
                <w:color w:val="000000" w:themeColor="text1"/>
                <w:sz w:val="18"/>
                <w:lang w:val="es"/>
              </w:rPr>
              <w:t>498</w:t>
            </w:r>
          </w:p>
        </w:tc>
      </w:tr>
      <w:tr w:rsidR="00D70EF5" w:rsidRPr="00D70EF5" w14:paraId="0EB4B60E" w14:textId="77777777" w:rsidTr="00D70EF5">
        <w:trPr>
          <w:trHeight w:val="283"/>
        </w:trPr>
        <w:tc>
          <w:tcPr>
            <w:tcW w:w="1001" w:type="pct"/>
            <w:vMerge w:val="restart"/>
            <w:vAlign w:val="center"/>
          </w:tcPr>
          <w:p w14:paraId="10BD1C7D" w14:textId="77777777" w:rsidR="00D70EF5" w:rsidRPr="00D70EF5" w:rsidRDefault="00D70EF5" w:rsidP="00D70EF5">
            <w:pPr>
              <w:spacing w:after="0" w:line="240" w:lineRule="auto"/>
              <w:jc w:val="center"/>
              <w:rPr>
                <w:rFonts w:ascii="Arial" w:hAnsi="Arial" w:cs="Arial"/>
                <w:bCs/>
                <w:color w:val="000000" w:themeColor="text1"/>
                <w:sz w:val="18"/>
                <w:lang w:val="es"/>
              </w:rPr>
            </w:pPr>
          </w:p>
          <w:p w14:paraId="41FAA573" w14:textId="77777777" w:rsidR="00D70EF5" w:rsidRPr="00D70EF5" w:rsidRDefault="00D70EF5" w:rsidP="00D70EF5">
            <w:pPr>
              <w:spacing w:after="0" w:line="240" w:lineRule="auto"/>
              <w:jc w:val="center"/>
              <w:rPr>
                <w:rFonts w:ascii="Arial" w:hAnsi="Arial" w:cs="Arial"/>
                <w:bCs/>
                <w:color w:val="000000" w:themeColor="text1"/>
                <w:sz w:val="18"/>
                <w:lang w:val="es"/>
              </w:rPr>
            </w:pPr>
          </w:p>
          <w:p w14:paraId="47AA15E7" w14:textId="77777777" w:rsidR="00D70EF5" w:rsidRPr="00D70EF5" w:rsidRDefault="00D70EF5" w:rsidP="00D70EF5">
            <w:pPr>
              <w:spacing w:after="0" w:line="240" w:lineRule="auto"/>
              <w:jc w:val="center"/>
              <w:rPr>
                <w:rFonts w:ascii="Arial" w:hAnsi="Arial" w:cs="Arial"/>
                <w:bCs/>
                <w:color w:val="000000" w:themeColor="text1"/>
                <w:sz w:val="18"/>
                <w:lang w:val="es"/>
              </w:rPr>
            </w:pPr>
            <w:r w:rsidRPr="00D70EF5">
              <w:rPr>
                <w:rFonts w:ascii="Arial" w:hAnsi="Arial" w:cs="Arial"/>
                <w:bCs/>
                <w:color w:val="000000" w:themeColor="text1"/>
                <w:sz w:val="18"/>
                <w:lang w:val="es"/>
              </w:rPr>
              <w:t>Scopus</w:t>
            </w:r>
          </w:p>
        </w:tc>
        <w:tc>
          <w:tcPr>
            <w:tcW w:w="2420" w:type="pct"/>
            <w:vAlign w:val="center"/>
          </w:tcPr>
          <w:p w14:paraId="631712B0" w14:textId="77777777" w:rsidR="00D70EF5" w:rsidRPr="00D70EF5" w:rsidRDefault="00D70EF5" w:rsidP="00D70EF5">
            <w:pPr>
              <w:spacing w:after="0" w:line="240" w:lineRule="auto"/>
              <w:jc w:val="center"/>
              <w:rPr>
                <w:rFonts w:ascii="Arial" w:hAnsi="Arial" w:cs="Arial"/>
                <w:bCs/>
                <w:color w:val="000000" w:themeColor="text1"/>
                <w:sz w:val="18"/>
                <w:lang w:val="en-CA"/>
              </w:rPr>
            </w:pPr>
            <w:r w:rsidRPr="00D70EF5">
              <w:rPr>
                <w:rFonts w:ascii="Arial" w:hAnsi="Arial" w:cs="Arial"/>
                <w:bCs/>
                <w:color w:val="000000" w:themeColor="text1"/>
                <w:sz w:val="18"/>
                <w:lang w:val="en-CA"/>
              </w:rPr>
              <w:t>TITLE-ABS-KEY ( "public governance" AND "public services" ) AND PUBYEAR &gt; 2014 AND PUBYEAR &lt; 2026</w:t>
            </w:r>
          </w:p>
        </w:tc>
        <w:tc>
          <w:tcPr>
            <w:tcW w:w="1579" w:type="pct"/>
            <w:vAlign w:val="center"/>
          </w:tcPr>
          <w:p w14:paraId="0734C6A1" w14:textId="5F37CCC9" w:rsidR="00D70EF5" w:rsidRPr="00D70EF5" w:rsidRDefault="00D70EF5" w:rsidP="00D70EF5">
            <w:pPr>
              <w:spacing w:after="0" w:line="240" w:lineRule="auto"/>
              <w:jc w:val="center"/>
              <w:rPr>
                <w:rFonts w:ascii="Arial" w:hAnsi="Arial" w:cs="Arial"/>
                <w:bCs/>
                <w:color w:val="000000" w:themeColor="text1"/>
                <w:sz w:val="18"/>
                <w:lang w:val="es"/>
              </w:rPr>
            </w:pPr>
            <w:r w:rsidRPr="00D70EF5">
              <w:rPr>
                <w:rFonts w:ascii="Arial" w:hAnsi="Arial" w:cs="Arial"/>
                <w:bCs/>
                <w:color w:val="000000" w:themeColor="text1"/>
                <w:sz w:val="18"/>
                <w:lang w:val="es"/>
              </w:rPr>
              <w:t>233</w:t>
            </w:r>
          </w:p>
        </w:tc>
      </w:tr>
      <w:tr w:rsidR="00D70EF5" w:rsidRPr="00D70EF5" w14:paraId="206B46AF" w14:textId="77777777" w:rsidTr="00D70EF5">
        <w:trPr>
          <w:cnfStyle w:val="000000100000" w:firstRow="0" w:lastRow="0" w:firstColumn="0" w:lastColumn="0" w:oddVBand="0" w:evenVBand="0" w:oddHBand="1" w:evenHBand="0" w:firstRowFirstColumn="0" w:firstRowLastColumn="0" w:lastRowFirstColumn="0" w:lastRowLastColumn="0"/>
          <w:trHeight w:val="283"/>
        </w:trPr>
        <w:tc>
          <w:tcPr>
            <w:tcW w:w="1001" w:type="pct"/>
            <w:vMerge/>
            <w:vAlign w:val="center"/>
          </w:tcPr>
          <w:p w14:paraId="45B8E6F7" w14:textId="77777777" w:rsidR="00D70EF5" w:rsidRPr="00D70EF5" w:rsidRDefault="00D70EF5" w:rsidP="00D70EF5">
            <w:pPr>
              <w:spacing w:after="0" w:line="240" w:lineRule="auto"/>
              <w:jc w:val="center"/>
              <w:rPr>
                <w:rFonts w:ascii="Arial" w:hAnsi="Arial" w:cs="Arial"/>
                <w:bCs/>
                <w:color w:val="000000" w:themeColor="text1"/>
                <w:sz w:val="18"/>
                <w:lang w:val="es"/>
              </w:rPr>
            </w:pPr>
          </w:p>
        </w:tc>
        <w:tc>
          <w:tcPr>
            <w:tcW w:w="2420" w:type="pct"/>
            <w:vAlign w:val="center"/>
          </w:tcPr>
          <w:p w14:paraId="61816E31" w14:textId="77777777" w:rsidR="00D70EF5" w:rsidRPr="00D70EF5" w:rsidRDefault="00D70EF5" w:rsidP="00D70EF5">
            <w:pPr>
              <w:spacing w:after="0" w:line="240" w:lineRule="auto"/>
              <w:jc w:val="center"/>
              <w:rPr>
                <w:rFonts w:ascii="Arial" w:hAnsi="Arial" w:cs="Arial"/>
                <w:bCs/>
                <w:color w:val="000000" w:themeColor="text1"/>
                <w:sz w:val="18"/>
                <w:lang w:val="en-CA"/>
              </w:rPr>
            </w:pPr>
            <w:r w:rsidRPr="00D70EF5">
              <w:rPr>
                <w:rFonts w:ascii="Arial" w:hAnsi="Arial" w:cs="Arial"/>
                <w:bCs/>
                <w:color w:val="000000" w:themeColor="text1"/>
                <w:sz w:val="18"/>
                <w:lang w:val="en-CA"/>
              </w:rPr>
              <w:t>TITLE-ABS-KEY ( public governance AND technology AND innovation ) AND PUBYEAR &gt; 2014 AND PUBYEAR &lt; 2026 AND ( LIMIT-TO ( OA , "all" ) ) AND ( LIMIT-TO ( LANGUAGE , "English" ) OR LIMIT-TO ( LANGUAGE , "Spanish" ) )</w:t>
            </w:r>
          </w:p>
        </w:tc>
        <w:tc>
          <w:tcPr>
            <w:tcW w:w="1579" w:type="pct"/>
            <w:vAlign w:val="center"/>
          </w:tcPr>
          <w:p w14:paraId="3D6D2D2F" w14:textId="7AB82544" w:rsidR="00D70EF5" w:rsidRPr="00D70EF5" w:rsidRDefault="00D70EF5" w:rsidP="00D70EF5">
            <w:pPr>
              <w:spacing w:after="0" w:line="240" w:lineRule="auto"/>
              <w:jc w:val="center"/>
              <w:rPr>
                <w:rFonts w:ascii="Arial" w:hAnsi="Arial" w:cs="Arial"/>
                <w:bCs/>
                <w:color w:val="000000" w:themeColor="text1"/>
                <w:sz w:val="18"/>
                <w:lang w:val="es"/>
              </w:rPr>
            </w:pPr>
            <w:r w:rsidRPr="00D70EF5">
              <w:rPr>
                <w:rFonts w:ascii="Arial" w:hAnsi="Arial" w:cs="Arial"/>
                <w:bCs/>
                <w:color w:val="000000" w:themeColor="text1"/>
                <w:sz w:val="18"/>
                <w:lang w:val="es"/>
              </w:rPr>
              <w:t>601</w:t>
            </w:r>
          </w:p>
        </w:tc>
      </w:tr>
    </w:tbl>
    <w:p w14:paraId="465528E0" w14:textId="4FE73A55" w:rsidR="00D70EF5" w:rsidRPr="003505F2" w:rsidRDefault="00D70EF5" w:rsidP="00D70EF5">
      <w:pPr>
        <w:spacing w:after="0" w:line="240" w:lineRule="auto"/>
        <w:jc w:val="both"/>
        <w:rPr>
          <w:rFonts w:ascii="Arial" w:hAnsi="Arial" w:cs="Arial"/>
          <w:bCs/>
          <w:color w:val="000000" w:themeColor="text1"/>
          <w:sz w:val="20"/>
          <w:lang w:val="es-MX"/>
        </w:rPr>
      </w:pPr>
    </w:p>
    <w:p w14:paraId="689A3B08" w14:textId="1BA40843" w:rsidR="002F1590" w:rsidRPr="003505F2" w:rsidRDefault="00D70EF5" w:rsidP="002F1590">
      <w:pPr>
        <w:spacing w:after="0" w:line="240" w:lineRule="auto"/>
        <w:ind w:firstLine="709"/>
        <w:jc w:val="both"/>
        <w:rPr>
          <w:rFonts w:ascii="Arial" w:hAnsi="Arial" w:cs="Arial"/>
          <w:bCs/>
          <w:color w:val="000000" w:themeColor="text1"/>
          <w:sz w:val="20"/>
          <w:lang w:val="es-MX"/>
        </w:rPr>
      </w:pPr>
      <w:r>
        <w:rPr>
          <w:rFonts w:ascii="Arial" w:hAnsi="Arial" w:cs="Arial"/>
          <w:bCs/>
          <w:color w:val="000000" w:themeColor="text1"/>
          <w:sz w:val="20"/>
          <w:lang w:val="es-MX"/>
        </w:rPr>
        <w:t>Además, s</w:t>
      </w:r>
      <w:r w:rsidR="002F1590" w:rsidRPr="003505F2">
        <w:rPr>
          <w:rFonts w:ascii="Arial" w:hAnsi="Arial" w:cs="Arial"/>
          <w:bCs/>
          <w:color w:val="000000" w:themeColor="text1"/>
          <w:sz w:val="20"/>
          <w:lang w:val="es-MX"/>
        </w:rPr>
        <w:t>e estableció un rango temporal que abarca del 2015 al 2025, a fin de asegurar la inclusión de hallazgos recientes y diversos, aplicables a distintas áreas del sector público. Además, se priorizó la búsqueda de artículos en inglés y español, dada la abundancia de información pertinente en ambos idiomas. Para optimizar los resultados, se identificaron términos temáticos en títulos, resúmenes y palabras clave, descartando fuentes fuera del enfoque central.</w:t>
      </w:r>
    </w:p>
    <w:p w14:paraId="7FD7942B" w14:textId="77777777" w:rsidR="002F1590" w:rsidRPr="003505F2" w:rsidRDefault="002F1590" w:rsidP="002F1590">
      <w:pPr>
        <w:spacing w:after="0" w:line="240" w:lineRule="auto"/>
        <w:ind w:firstLine="709"/>
        <w:jc w:val="both"/>
        <w:rPr>
          <w:rFonts w:ascii="Arial" w:hAnsi="Arial" w:cs="Arial"/>
          <w:bCs/>
          <w:color w:val="000000" w:themeColor="text1"/>
          <w:sz w:val="20"/>
          <w:lang w:val="es-MX"/>
        </w:rPr>
      </w:pPr>
      <w:r w:rsidRPr="003505F2">
        <w:rPr>
          <w:rFonts w:ascii="Arial" w:hAnsi="Arial" w:cs="Arial"/>
          <w:bCs/>
          <w:color w:val="000000" w:themeColor="text1"/>
          <w:sz w:val="20"/>
          <w:lang w:val="es-MX"/>
        </w:rPr>
        <w:t>La búsqueda se centró en artículos científicos que incluyeran estudios originales, revisiones sistemáticas, revisiones bibliográficas y metaanálisis, considerando métodos cualitativos, cuantitativos y mixtos, en función de la riqueza y diversidad de información que aportan.</w:t>
      </w:r>
    </w:p>
    <w:p w14:paraId="0C5C35E7" w14:textId="77777777" w:rsidR="002F1590" w:rsidRPr="003505F2" w:rsidRDefault="002F1590" w:rsidP="002F1590">
      <w:pPr>
        <w:spacing w:after="0" w:line="240" w:lineRule="auto"/>
        <w:ind w:firstLine="709"/>
        <w:jc w:val="both"/>
        <w:rPr>
          <w:rFonts w:ascii="Arial" w:hAnsi="Arial" w:cs="Arial"/>
          <w:bCs/>
          <w:color w:val="000000" w:themeColor="text1"/>
          <w:sz w:val="20"/>
          <w:lang w:val="es-MX"/>
        </w:rPr>
      </w:pPr>
      <w:r w:rsidRPr="003505F2">
        <w:rPr>
          <w:rFonts w:ascii="Arial" w:hAnsi="Arial" w:cs="Arial"/>
          <w:bCs/>
          <w:color w:val="000000" w:themeColor="text1"/>
          <w:sz w:val="20"/>
          <w:lang w:val="es-MX"/>
        </w:rPr>
        <w:t>Se seleccionaron estudios que presentaban hallazgos relacionados con la aplicación de modelos de gobernanza pública, los desafíos en la implementación de medidas, la evaluación del desempeño estatal en gobernanza y la comparación entre distintos modelos de gestión.</w:t>
      </w:r>
    </w:p>
    <w:p w14:paraId="488C9132" w14:textId="47E460B6" w:rsidR="002F1590" w:rsidRDefault="002F1590" w:rsidP="002F1590">
      <w:pPr>
        <w:spacing w:after="0" w:line="240" w:lineRule="auto"/>
        <w:ind w:firstLine="709"/>
        <w:jc w:val="both"/>
        <w:rPr>
          <w:rFonts w:ascii="Arial" w:hAnsi="Arial" w:cs="Arial"/>
          <w:bCs/>
          <w:color w:val="000000" w:themeColor="text1"/>
          <w:sz w:val="20"/>
          <w:lang w:val="es-MX"/>
        </w:rPr>
      </w:pPr>
      <w:r w:rsidRPr="003505F2">
        <w:rPr>
          <w:rFonts w:ascii="Arial" w:hAnsi="Arial" w:cs="Arial"/>
          <w:bCs/>
          <w:color w:val="000000" w:themeColor="text1"/>
          <w:sz w:val="20"/>
          <w:lang w:val="es-MX"/>
        </w:rPr>
        <w:t>Para ilustrar el proceso de selección, se elaboró un diagrama de flujo según los lineamientos del método PRISMA (véase Figura 1).</w:t>
      </w:r>
    </w:p>
    <w:p w14:paraId="1F5F0FC5" w14:textId="713C44F3" w:rsidR="00D70EF5" w:rsidRDefault="00D70EF5" w:rsidP="00D70EF5">
      <w:pPr>
        <w:spacing w:after="0" w:line="240" w:lineRule="auto"/>
        <w:jc w:val="both"/>
        <w:rPr>
          <w:rFonts w:ascii="Arial" w:hAnsi="Arial" w:cs="Arial"/>
          <w:bCs/>
          <w:color w:val="000000" w:themeColor="text1"/>
          <w:sz w:val="20"/>
          <w:lang w:val="es-MX"/>
        </w:rPr>
      </w:pPr>
    </w:p>
    <w:p w14:paraId="1A3C4997" w14:textId="77777777" w:rsidR="00D70EF5" w:rsidRDefault="00D70EF5" w:rsidP="00D70EF5">
      <w:pPr>
        <w:spacing w:after="0" w:line="240" w:lineRule="auto"/>
        <w:jc w:val="both"/>
        <w:rPr>
          <w:rFonts w:ascii="Arial" w:hAnsi="Arial" w:cs="Arial"/>
          <w:b/>
          <w:bCs/>
          <w:color w:val="000000" w:themeColor="text1"/>
          <w:sz w:val="20"/>
          <w:lang w:val="es"/>
        </w:rPr>
      </w:pPr>
    </w:p>
    <w:p w14:paraId="6C3898D1" w14:textId="77777777" w:rsidR="00D70EF5" w:rsidRDefault="00D70EF5" w:rsidP="00D70EF5">
      <w:pPr>
        <w:spacing w:after="0" w:line="240" w:lineRule="auto"/>
        <w:jc w:val="both"/>
        <w:rPr>
          <w:rFonts w:ascii="Arial" w:hAnsi="Arial" w:cs="Arial"/>
          <w:b/>
          <w:bCs/>
          <w:color w:val="000000" w:themeColor="text1"/>
          <w:sz w:val="20"/>
          <w:lang w:val="es"/>
        </w:rPr>
      </w:pPr>
    </w:p>
    <w:p w14:paraId="00CBF96D" w14:textId="77777777" w:rsidR="00D70EF5" w:rsidRDefault="00D70EF5" w:rsidP="00D70EF5">
      <w:pPr>
        <w:spacing w:after="0" w:line="240" w:lineRule="auto"/>
        <w:jc w:val="both"/>
        <w:rPr>
          <w:rFonts w:ascii="Arial" w:hAnsi="Arial" w:cs="Arial"/>
          <w:b/>
          <w:bCs/>
          <w:color w:val="000000" w:themeColor="text1"/>
          <w:sz w:val="20"/>
          <w:lang w:val="es"/>
        </w:rPr>
      </w:pPr>
    </w:p>
    <w:p w14:paraId="28A270C2" w14:textId="77777777" w:rsidR="00D70EF5" w:rsidRDefault="00D70EF5" w:rsidP="00D70EF5">
      <w:pPr>
        <w:spacing w:after="0" w:line="240" w:lineRule="auto"/>
        <w:jc w:val="both"/>
        <w:rPr>
          <w:rFonts w:ascii="Arial" w:hAnsi="Arial" w:cs="Arial"/>
          <w:b/>
          <w:bCs/>
          <w:color w:val="000000" w:themeColor="text1"/>
          <w:sz w:val="20"/>
          <w:lang w:val="es"/>
        </w:rPr>
      </w:pPr>
    </w:p>
    <w:p w14:paraId="45BA5335" w14:textId="77777777" w:rsidR="00D70EF5" w:rsidRDefault="00D70EF5" w:rsidP="00D70EF5">
      <w:pPr>
        <w:spacing w:after="0" w:line="240" w:lineRule="auto"/>
        <w:jc w:val="both"/>
        <w:rPr>
          <w:rFonts w:ascii="Arial" w:hAnsi="Arial" w:cs="Arial"/>
          <w:b/>
          <w:bCs/>
          <w:color w:val="000000" w:themeColor="text1"/>
          <w:sz w:val="20"/>
          <w:lang w:val="es"/>
        </w:rPr>
      </w:pPr>
    </w:p>
    <w:p w14:paraId="7D2CE5CA" w14:textId="77777777" w:rsidR="00D70EF5" w:rsidRDefault="00D70EF5" w:rsidP="00D70EF5">
      <w:pPr>
        <w:spacing w:after="0" w:line="240" w:lineRule="auto"/>
        <w:jc w:val="both"/>
        <w:rPr>
          <w:rFonts w:ascii="Arial" w:hAnsi="Arial" w:cs="Arial"/>
          <w:b/>
          <w:bCs/>
          <w:color w:val="000000" w:themeColor="text1"/>
          <w:sz w:val="20"/>
          <w:lang w:val="es"/>
        </w:rPr>
      </w:pPr>
    </w:p>
    <w:p w14:paraId="45760036" w14:textId="77777777" w:rsidR="00D70EF5" w:rsidRDefault="00D70EF5" w:rsidP="00D70EF5">
      <w:pPr>
        <w:spacing w:after="0" w:line="240" w:lineRule="auto"/>
        <w:jc w:val="both"/>
        <w:rPr>
          <w:rFonts w:ascii="Arial" w:hAnsi="Arial" w:cs="Arial"/>
          <w:b/>
          <w:bCs/>
          <w:color w:val="000000" w:themeColor="text1"/>
          <w:sz w:val="20"/>
          <w:lang w:val="es"/>
        </w:rPr>
      </w:pPr>
    </w:p>
    <w:p w14:paraId="300B05C7" w14:textId="77777777" w:rsidR="00D70EF5" w:rsidRDefault="00D70EF5" w:rsidP="00D70EF5">
      <w:pPr>
        <w:spacing w:after="0" w:line="240" w:lineRule="auto"/>
        <w:jc w:val="both"/>
        <w:rPr>
          <w:rFonts w:ascii="Arial" w:hAnsi="Arial" w:cs="Arial"/>
          <w:b/>
          <w:bCs/>
          <w:color w:val="000000" w:themeColor="text1"/>
          <w:sz w:val="20"/>
          <w:lang w:val="es"/>
        </w:rPr>
      </w:pPr>
    </w:p>
    <w:p w14:paraId="6FEDA7CC" w14:textId="77777777" w:rsidR="00D70EF5" w:rsidRDefault="00D70EF5" w:rsidP="00D70EF5">
      <w:pPr>
        <w:spacing w:after="0" w:line="240" w:lineRule="auto"/>
        <w:jc w:val="both"/>
        <w:rPr>
          <w:rFonts w:ascii="Arial" w:hAnsi="Arial" w:cs="Arial"/>
          <w:b/>
          <w:bCs/>
          <w:color w:val="000000" w:themeColor="text1"/>
          <w:sz w:val="20"/>
          <w:lang w:val="es"/>
        </w:rPr>
      </w:pPr>
    </w:p>
    <w:p w14:paraId="2A389BC6" w14:textId="77777777" w:rsidR="00D70EF5" w:rsidRDefault="00D70EF5" w:rsidP="00D70EF5">
      <w:pPr>
        <w:spacing w:after="0" w:line="240" w:lineRule="auto"/>
        <w:jc w:val="both"/>
        <w:rPr>
          <w:rFonts w:ascii="Arial" w:hAnsi="Arial" w:cs="Arial"/>
          <w:b/>
          <w:bCs/>
          <w:color w:val="000000" w:themeColor="text1"/>
          <w:sz w:val="20"/>
          <w:lang w:val="es"/>
        </w:rPr>
      </w:pPr>
    </w:p>
    <w:p w14:paraId="60100348" w14:textId="77777777" w:rsidR="00D70EF5" w:rsidRDefault="00D70EF5" w:rsidP="00D70EF5">
      <w:pPr>
        <w:spacing w:after="0" w:line="240" w:lineRule="auto"/>
        <w:jc w:val="both"/>
        <w:rPr>
          <w:rFonts w:ascii="Arial" w:hAnsi="Arial" w:cs="Arial"/>
          <w:b/>
          <w:bCs/>
          <w:color w:val="000000" w:themeColor="text1"/>
          <w:sz w:val="20"/>
          <w:lang w:val="es"/>
        </w:rPr>
      </w:pPr>
    </w:p>
    <w:p w14:paraId="641A7FFE" w14:textId="77777777" w:rsidR="00D70EF5" w:rsidRDefault="00D70EF5" w:rsidP="00D70EF5">
      <w:pPr>
        <w:spacing w:after="0" w:line="240" w:lineRule="auto"/>
        <w:jc w:val="both"/>
        <w:rPr>
          <w:rFonts w:ascii="Arial" w:hAnsi="Arial" w:cs="Arial"/>
          <w:b/>
          <w:bCs/>
          <w:color w:val="000000" w:themeColor="text1"/>
          <w:sz w:val="20"/>
          <w:lang w:val="es"/>
        </w:rPr>
      </w:pPr>
    </w:p>
    <w:p w14:paraId="26896E57" w14:textId="1C28CBAD" w:rsidR="00D70EF5" w:rsidRPr="00D70EF5" w:rsidRDefault="00D70EF5" w:rsidP="00D70EF5">
      <w:pPr>
        <w:spacing w:after="0" w:line="240" w:lineRule="auto"/>
        <w:jc w:val="both"/>
        <w:rPr>
          <w:rFonts w:ascii="Arial" w:hAnsi="Arial" w:cs="Arial"/>
          <w:b/>
          <w:bCs/>
          <w:color w:val="000000" w:themeColor="text1"/>
          <w:sz w:val="20"/>
          <w:lang w:val="es"/>
        </w:rPr>
      </w:pPr>
      <w:r>
        <w:rPr>
          <w:rFonts w:ascii="Arial" w:hAnsi="Arial" w:cs="Arial"/>
          <w:b/>
          <w:bCs/>
          <w:color w:val="000000" w:themeColor="text1"/>
          <w:sz w:val="20"/>
          <w:lang w:val="es"/>
        </w:rPr>
        <w:lastRenderedPageBreak/>
        <w:t>Figura 1</w:t>
      </w:r>
    </w:p>
    <w:p w14:paraId="015AD088" w14:textId="55E53B34" w:rsidR="00D70EF5" w:rsidRDefault="00D70EF5" w:rsidP="00D70EF5">
      <w:pPr>
        <w:spacing w:after="0" w:line="240" w:lineRule="auto"/>
        <w:jc w:val="both"/>
        <w:rPr>
          <w:rFonts w:ascii="Arial" w:hAnsi="Arial" w:cs="Arial"/>
          <w:bCs/>
          <w:i/>
          <w:color w:val="000000" w:themeColor="text1"/>
          <w:sz w:val="20"/>
          <w:lang w:val="es"/>
        </w:rPr>
      </w:pPr>
      <w:r w:rsidRPr="00D70EF5">
        <w:rPr>
          <w:rFonts w:ascii="Arial" w:hAnsi="Arial" w:cs="Arial"/>
          <w:bCs/>
          <w:i/>
          <w:color w:val="000000" w:themeColor="text1"/>
          <w:sz w:val="20"/>
          <w:lang w:val="es"/>
        </w:rPr>
        <w:t>Diagrama de flujo PRISMA</w:t>
      </w:r>
    </w:p>
    <w:p w14:paraId="561D3034" w14:textId="3879E57E" w:rsidR="00605538" w:rsidRPr="00D70EF5" w:rsidRDefault="00605538" w:rsidP="00D70EF5">
      <w:pPr>
        <w:spacing w:after="0" w:line="240" w:lineRule="auto"/>
        <w:jc w:val="both"/>
        <w:rPr>
          <w:rFonts w:ascii="Arial" w:hAnsi="Arial" w:cs="Arial"/>
          <w:bCs/>
          <w:i/>
          <w:color w:val="000000" w:themeColor="text1"/>
          <w:sz w:val="20"/>
          <w:lang w:val="es"/>
        </w:rPr>
      </w:pPr>
      <w:r>
        <w:rPr>
          <w:rFonts w:ascii="Arial" w:hAnsi="Arial" w:cs="Arial"/>
          <w:bCs/>
          <w:i/>
          <w:noProof/>
          <w:color w:val="000000" w:themeColor="text1"/>
          <w:sz w:val="20"/>
          <w:lang w:val="en-US"/>
        </w:rPr>
        <mc:AlternateContent>
          <mc:Choice Requires="wpg">
            <w:drawing>
              <wp:anchor distT="0" distB="0" distL="114300" distR="114300" simplePos="0" relativeHeight="251660288" behindDoc="1" locked="0" layoutInCell="1" allowOverlap="1" wp14:anchorId="3765F335" wp14:editId="1DB0B348">
                <wp:simplePos x="0" y="0"/>
                <wp:positionH relativeFrom="margin">
                  <wp:align>center</wp:align>
                </wp:positionH>
                <wp:positionV relativeFrom="paragraph">
                  <wp:posOffset>145897</wp:posOffset>
                </wp:positionV>
                <wp:extent cx="4167906" cy="4639145"/>
                <wp:effectExtent l="0" t="0" r="23495" b="28575"/>
                <wp:wrapNone/>
                <wp:docPr id="33" name="Grupo 33"/>
                <wp:cNvGraphicFramePr/>
                <a:graphic xmlns:a="http://schemas.openxmlformats.org/drawingml/2006/main">
                  <a:graphicData uri="http://schemas.microsoft.com/office/word/2010/wordprocessingGroup">
                    <wpg:wgp>
                      <wpg:cNvGrpSpPr/>
                      <wpg:grpSpPr>
                        <a:xfrm>
                          <a:off x="0" y="0"/>
                          <a:ext cx="4167906" cy="4639145"/>
                          <a:chOff x="0" y="0"/>
                          <a:chExt cx="4167906" cy="4639145"/>
                        </a:xfrm>
                      </wpg:grpSpPr>
                      <wps:wsp>
                        <wps:cNvPr id="7" name="Rectángulo 7"/>
                        <wps:cNvSpPr/>
                        <wps:spPr>
                          <a:xfrm>
                            <a:off x="426011" y="1423"/>
                            <a:ext cx="1170846" cy="539999"/>
                          </a:xfrm>
                          <a:prstGeom prst="rect">
                            <a:avLst/>
                          </a:prstGeom>
                          <a:solidFill>
                            <a:schemeClr val="bg1">
                              <a:lumMod val="95000"/>
                            </a:schemeClr>
                          </a:solidFill>
                          <a:ln w="12700" cap="flat" cmpd="sng">
                            <a:solidFill>
                              <a:sysClr val="windowText" lastClr="000000"/>
                            </a:solidFill>
                            <a:prstDash val="solid"/>
                            <a:miter lim="800000"/>
                            <a:headEnd type="none" w="sm" len="sm"/>
                            <a:tailEnd type="none" w="sm" len="sm"/>
                          </a:ln>
                        </wps:spPr>
                        <wps:txbx>
                          <w:txbxContent>
                            <w:p w14:paraId="31B48F51" w14:textId="77777777" w:rsidR="00C42E70" w:rsidRPr="00D70EF5" w:rsidRDefault="00C42E70" w:rsidP="00D70EF5">
                              <w:pPr>
                                <w:spacing w:after="0" w:line="240" w:lineRule="auto"/>
                                <w:jc w:val="center"/>
                                <w:textDirection w:val="btLr"/>
                                <w:rPr>
                                  <w:rFonts w:ascii="Arial" w:hAnsi="Arial" w:cs="Arial"/>
                                  <w:sz w:val="18"/>
                                  <w:szCs w:val="18"/>
                                </w:rPr>
                              </w:pPr>
                              <w:r w:rsidRPr="00D70EF5">
                                <w:rPr>
                                  <w:rFonts w:ascii="Arial" w:eastAsia="Times New Roman" w:hAnsi="Arial" w:cs="Arial"/>
                                  <w:color w:val="000000"/>
                                  <w:sz w:val="18"/>
                                  <w:szCs w:val="18"/>
                                </w:rPr>
                                <w:t>Google Académico = 1058</w:t>
                              </w:r>
                            </w:p>
                          </w:txbxContent>
                        </wps:txbx>
                        <wps:bodyPr spcFirstLastPara="1" wrap="square" lIns="91425" tIns="45700" rIns="91425" bIns="45700" anchor="ctr" anchorCtr="0">
                          <a:noAutofit/>
                        </wps:bodyPr>
                      </wps:wsp>
                      <wps:wsp>
                        <wps:cNvPr id="15" name="Rectángulo 15"/>
                        <wps:cNvSpPr/>
                        <wps:spPr>
                          <a:xfrm>
                            <a:off x="2553261" y="1900073"/>
                            <a:ext cx="1601951" cy="826271"/>
                          </a:xfrm>
                          <a:prstGeom prst="rect">
                            <a:avLst/>
                          </a:prstGeom>
                          <a:solidFill>
                            <a:sysClr val="window" lastClr="FFFFFF"/>
                          </a:solidFill>
                          <a:ln w="12700" cap="flat" cmpd="sng">
                            <a:solidFill>
                              <a:sysClr val="windowText" lastClr="000000"/>
                            </a:solidFill>
                            <a:prstDash val="solid"/>
                            <a:miter lim="800000"/>
                            <a:headEnd type="none" w="sm" len="sm"/>
                            <a:tailEnd type="none" w="sm" len="sm"/>
                          </a:ln>
                        </wps:spPr>
                        <wps:txbx>
                          <w:txbxContent>
                            <w:p w14:paraId="0A61F74A" w14:textId="77777777" w:rsidR="00C42E70" w:rsidRPr="00D70EF5" w:rsidRDefault="00C42E70" w:rsidP="00D70EF5">
                              <w:pPr>
                                <w:spacing w:after="0" w:line="240" w:lineRule="auto"/>
                                <w:jc w:val="center"/>
                                <w:textDirection w:val="btLr"/>
                                <w:rPr>
                                  <w:rFonts w:ascii="Arial" w:hAnsi="Arial" w:cs="Arial"/>
                                  <w:sz w:val="18"/>
                                  <w:szCs w:val="18"/>
                                </w:rPr>
                              </w:pPr>
                              <w:r w:rsidRPr="00D70EF5">
                                <w:rPr>
                                  <w:rFonts w:ascii="Arial" w:eastAsia="Times New Roman" w:hAnsi="Arial" w:cs="Arial"/>
                                  <w:color w:val="000000"/>
                                  <w:sz w:val="18"/>
                                  <w:szCs w:val="18"/>
                                </w:rPr>
                                <w:t>Excluidos por criterios metodológicos (n = 720)</w:t>
                              </w:r>
                            </w:p>
                          </w:txbxContent>
                        </wps:txbx>
                        <wps:bodyPr spcFirstLastPara="1" wrap="square" lIns="91425" tIns="45700" rIns="91425" bIns="45700" anchor="ctr" anchorCtr="0">
                          <a:noAutofit/>
                        </wps:bodyPr>
                      </wps:wsp>
                      <wps:wsp>
                        <wps:cNvPr id="11" name="Rectángulo 11"/>
                        <wps:cNvSpPr/>
                        <wps:spPr>
                          <a:xfrm>
                            <a:off x="972111" y="1982623"/>
                            <a:ext cx="1248302" cy="655827"/>
                          </a:xfrm>
                          <a:prstGeom prst="rect">
                            <a:avLst/>
                          </a:prstGeom>
                          <a:solidFill>
                            <a:sysClr val="window" lastClr="FFFFFF"/>
                          </a:solidFill>
                          <a:ln w="12700" cap="flat" cmpd="sng">
                            <a:solidFill>
                              <a:sysClr val="windowText" lastClr="000000"/>
                            </a:solidFill>
                            <a:prstDash val="solid"/>
                            <a:miter lim="800000"/>
                            <a:headEnd type="none" w="sm" len="sm"/>
                            <a:tailEnd type="none" w="sm" len="sm"/>
                          </a:ln>
                        </wps:spPr>
                        <wps:txbx>
                          <w:txbxContent>
                            <w:p w14:paraId="76EAE266" w14:textId="77777777" w:rsidR="00C42E70" w:rsidRPr="00D70EF5" w:rsidRDefault="00C42E70" w:rsidP="00D70EF5">
                              <w:pPr>
                                <w:spacing w:after="0" w:line="240" w:lineRule="auto"/>
                                <w:jc w:val="center"/>
                                <w:textDirection w:val="btLr"/>
                                <w:rPr>
                                  <w:rFonts w:ascii="Arial" w:hAnsi="Arial" w:cs="Arial"/>
                                  <w:sz w:val="18"/>
                                  <w:szCs w:val="18"/>
                                </w:rPr>
                              </w:pPr>
                              <w:r w:rsidRPr="00D70EF5">
                                <w:rPr>
                                  <w:rFonts w:ascii="Arial" w:eastAsia="Times New Roman" w:hAnsi="Arial" w:cs="Arial"/>
                                  <w:color w:val="000000"/>
                                  <w:sz w:val="18"/>
                                  <w:szCs w:val="18"/>
                                </w:rPr>
                                <w:t xml:space="preserve">Artículos seleccionados </w:t>
                              </w:r>
                              <w:r w:rsidRPr="00D70EF5">
                                <w:rPr>
                                  <w:rFonts w:ascii="Arial" w:eastAsia="Times New Roman" w:hAnsi="Arial" w:cs="Arial"/>
                                  <w:color w:val="000000"/>
                                  <w:sz w:val="18"/>
                                  <w:szCs w:val="18"/>
                                </w:rPr>
                                <w:br/>
                                <w:t>(n = 857)</w:t>
                              </w:r>
                            </w:p>
                          </w:txbxContent>
                        </wps:txbx>
                        <wps:bodyPr spcFirstLastPara="1" wrap="square" lIns="91425" tIns="45700" rIns="91425" bIns="45700" anchor="ctr" anchorCtr="0">
                          <a:noAutofit/>
                        </wps:bodyPr>
                      </wps:wsp>
                      <wps:wsp>
                        <wps:cNvPr id="19" name="Conector recto de flecha 19"/>
                        <wps:cNvCnPr/>
                        <wps:spPr>
                          <a:xfrm rot="10800000" flipH="1">
                            <a:off x="2223061" y="2312823"/>
                            <a:ext cx="330533" cy="1389"/>
                          </a:xfrm>
                          <a:prstGeom prst="straightConnector1">
                            <a:avLst/>
                          </a:prstGeom>
                          <a:noFill/>
                          <a:ln w="9525" cap="flat" cmpd="sng">
                            <a:solidFill>
                              <a:srgbClr val="006666"/>
                            </a:solidFill>
                            <a:prstDash val="solid"/>
                            <a:miter lim="800000"/>
                            <a:headEnd type="none" w="sm" len="sm"/>
                            <a:tailEnd type="triangle" w="med" len="med"/>
                          </a:ln>
                        </wps:spPr>
                        <wps:bodyPr/>
                      </wps:wsp>
                      <wps:wsp>
                        <wps:cNvPr id="21" name="Rectángulo 21"/>
                        <wps:cNvSpPr/>
                        <wps:spPr>
                          <a:xfrm rot="16200000">
                            <a:off x="-424889" y="426873"/>
                            <a:ext cx="1135039" cy="281293"/>
                          </a:xfrm>
                          <a:prstGeom prst="rect">
                            <a:avLst/>
                          </a:prstGeom>
                          <a:solidFill>
                            <a:schemeClr val="bg1">
                              <a:lumMod val="95000"/>
                            </a:schemeClr>
                          </a:solidFill>
                          <a:ln w="12700" cap="flat" cmpd="sng">
                            <a:solidFill>
                              <a:sysClr val="windowText" lastClr="000000"/>
                            </a:solidFill>
                            <a:prstDash val="solid"/>
                            <a:miter lim="800000"/>
                            <a:headEnd type="none" w="sm" len="sm"/>
                            <a:tailEnd type="none" w="sm" len="sm"/>
                          </a:ln>
                        </wps:spPr>
                        <wps:txbx>
                          <w:txbxContent>
                            <w:p w14:paraId="40EC4A78" w14:textId="77777777" w:rsidR="00C42E70" w:rsidRPr="00D70EF5" w:rsidRDefault="00C42E70" w:rsidP="00D70EF5">
                              <w:pPr>
                                <w:spacing w:after="0" w:line="240" w:lineRule="auto"/>
                                <w:jc w:val="center"/>
                                <w:textDirection w:val="btLr"/>
                                <w:rPr>
                                  <w:rFonts w:ascii="Arial" w:hAnsi="Arial" w:cs="Arial"/>
                                  <w:sz w:val="18"/>
                                  <w:szCs w:val="18"/>
                                </w:rPr>
                              </w:pPr>
                              <w:r w:rsidRPr="00D70EF5">
                                <w:rPr>
                                  <w:rFonts w:ascii="Arial" w:eastAsia="Times New Roman" w:hAnsi="Arial" w:cs="Arial"/>
                                  <w:color w:val="000000"/>
                                  <w:sz w:val="18"/>
                                  <w:szCs w:val="18"/>
                                </w:rPr>
                                <w:t>IDENTIFICACIÓN</w:t>
                              </w:r>
                            </w:p>
                          </w:txbxContent>
                        </wps:txbx>
                        <wps:bodyPr spcFirstLastPara="1" wrap="square" lIns="91425" tIns="45700" rIns="91425" bIns="45700" anchor="ctr" anchorCtr="0">
                          <a:noAutofit/>
                        </wps:bodyPr>
                      </wps:wsp>
                      <wps:wsp>
                        <wps:cNvPr id="22" name="Rectángulo 22"/>
                        <wps:cNvSpPr/>
                        <wps:spPr>
                          <a:xfrm rot="16200000">
                            <a:off x="-272489" y="1646073"/>
                            <a:ext cx="826272" cy="281293"/>
                          </a:xfrm>
                          <a:prstGeom prst="rect">
                            <a:avLst/>
                          </a:prstGeom>
                          <a:solidFill>
                            <a:schemeClr val="bg1">
                              <a:lumMod val="95000"/>
                            </a:schemeClr>
                          </a:solidFill>
                          <a:ln w="12700" cap="flat" cmpd="sng">
                            <a:solidFill>
                              <a:sysClr val="windowText" lastClr="000000"/>
                            </a:solidFill>
                            <a:prstDash val="solid"/>
                            <a:miter lim="800000"/>
                            <a:headEnd type="none" w="sm" len="sm"/>
                            <a:tailEnd type="none" w="sm" len="sm"/>
                          </a:ln>
                        </wps:spPr>
                        <wps:txbx>
                          <w:txbxContent>
                            <w:p w14:paraId="43F1B9D5" w14:textId="77777777" w:rsidR="00C42E70" w:rsidRPr="00D70EF5" w:rsidRDefault="00C42E70" w:rsidP="00D70EF5">
                              <w:pPr>
                                <w:spacing w:after="0" w:line="240" w:lineRule="auto"/>
                                <w:jc w:val="center"/>
                                <w:textDirection w:val="btLr"/>
                                <w:rPr>
                                  <w:rFonts w:ascii="Arial" w:hAnsi="Arial" w:cs="Arial"/>
                                  <w:sz w:val="18"/>
                                  <w:szCs w:val="18"/>
                                </w:rPr>
                              </w:pPr>
                              <w:r w:rsidRPr="00D70EF5">
                                <w:rPr>
                                  <w:rFonts w:ascii="Arial" w:eastAsia="Times New Roman" w:hAnsi="Arial" w:cs="Arial"/>
                                  <w:color w:val="000000"/>
                                  <w:sz w:val="18"/>
                                  <w:szCs w:val="18"/>
                                </w:rPr>
                                <w:t>CRIBADO</w:t>
                              </w:r>
                            </w:p>
                          </w:txbxContent>
                        </wps:txbx>
                        <wps:bodyPr spcFirstLastPara="1" wrap="square" lIns="91425" tIns="45700" rIns="91425" bIns="45700" anchor="ctr" anchorCtr="0">
                          <a:noAutofit/>
                        </wps:bodyPr>
                      </wps:wsp>
                      <wps:wsp>
                        <wps:cNvPr id="23" name="Rectángulo 23"/>
                        <wps:cNvSpPr/>
                        <wps:spPr>
                          <a:xfrm rot="16200000">
                            <a:off x="-361389" y="2776373"/>
                            <a:ext cx="1011323" cy="272953"/>
                          </a:xfrm>
                          <a:prstGeom prst="rect">
                            <a:avLst/>
                          </a:prstGeom>
                          <a:solidFill>
                            <a:schemeClr val="bg1">
                              <a:lumMod val="95000"/>
                            </a:schemeClr>
                          </a:solidFill>
                          <a:ln w="12700" cap="flat" cmpd="sng">
                            <a:solidFill>
                              <a:sysClr val="windowText" lastClr="000000"/>
                            </a:solidFill>
                            <a:prstDash val="solid"/>
                            <a:miter lim="800000"/>
                            <a:headEnd type="none" w="sm" len="sm"/>
                            <a:tailEnd type="none" w="sm" len="sm"/>
                          </a:ln>
                        </wps:spPr>
                        <wps:txbx>
                          <w:txbxContent>
                            <w:p w14:paraId="2B72EADC" w14:textId="77777777" w:rsidR="00C42E70" w:rsidRPr="00D70EF5" w:rsidRDefault="00C42E70" w:rsidP="00D70EF5">
                              <w:pPr>
                                <w:spacing w:after="0" w:line="240" w:lineRule="auto"/>
                                <w:jc w:val="center"/>
                                <w:textDirection w:val="btLr"/>
                                <w:rPr>
                                  <w:rFonts w:ascii="Arial" w:hAnsi="Arial" w:cs="Arial"/>
                                  <w:sz w:val="18"/>
                                  <w:szCs w:val="18"/>
                                </w:rPr>
                              </w:pPr>
                              <w:r w:rsidRPr="00D70EF5">
                                <w:rPr>
                                  <w:rFonts w:ascii="Arial" w:eastAsia="Times New Roman" w:hAnsi="Arial" w:cs="Arial"/>
                                  <w:color w:val="000000"/>
                                  <w:sz w:val="18"/>
                                  <w:szCs w:val="18"/>
                                </w:rPr>
                                <w:t>ELEGIBILIDAD</w:t>
                              </w:r>
                            </w:p>
                          </w:txbxContent>
                        </wps:txbx>
                        <wps:bodyPr spcFirstLastPara="1" wrap="square" lIns="91425" tIns="45700" rIns="91425" bIns="45700" anchor="ctr" anchorCtr="0">
                          <a:noAutofit/>
                        </wps:bodyPr>
                      </wps:wsp>
                      <wps:wsp>
                        <wps:cNvPr id="25" name="Rectángulo 25"/>
                        <wps:cNvSpPr/>
                        <wps:spPr>
                          <a:xfrm>
                            <a:off x="1048311" y="1017423"/>
                            <a:ext cx="1093582" cy="562137"/>
                          </a:xfrm>
                          <a:prstGeom prst="rect">
                            <a:avLst/>
                          </a:prstGeom>
                          <a:solidFill>
                            <a:sysClr val="window" lastClr="FFFFFF"/>
                          </a:solidFill>
                          <a:ln w="12700" cap="flat" cmpd="sng">
                            <a:solidFill>
                              <a:sysClr val="windowText" lastClr="000000"/>
                            </a:solidFill>
                            <a:prstDash val="solid"/>
                            <a:miter lim="800000"/>
                            <a:headEnd type="none" w="sm" len="sm"/>
                            <a:tailEnd type="none" w="sm" len="sm"/>
                          </a:ln>
                        </wps:spPr>
                        <wps:txbx>
                          <w:txbxContent>
                            <w:p w14:paraId="4F3B8F42" w14:textId="77777777" w:rsidR="00C42E70" w:rsidRPr="00D70EF5" w:rsidRDefault="00C42E70" w:rsidP="00D70EF5">
                              <w:pPr>
                                <w:spacing w:after="0" w:line="240" w:lineRule="auto"/>
                                <w:jc w:val="center"/>
                                <w:textDirection w:val="btLr"/>
                                <w:rPr>
                                  <w:rFonts w:ascii="Arial" w:hAnsi="Arial" w:cs="Arial"/>
                                  <w:sz w:val="18"/>
                                  <w:szCs w:val="18"/>
                                </w:rPr>
                              </w:pPr>
                              <w:r w:rsidRPr="00D70EF5">
                                <w:rPr>
                                  <w:rFonts w:ascii="Arial" w:eastAsia="Times New Roman" w:hAnsi="Arial" w:cs="Arial"/>
                                  <w:color w:val="000000"/>
                                  <w:sz w:val="18"/>
                                  <w:szCs w:val="18"/>
                                </w:rPr>
                                <w:t>Total (n = 1892)</w:t>
                              </w:r>
                            </w:p>
                          </w:txbxContent>
                        </wps:txbx>
                        <wps:bodyPr spcFirstLastPara="1" wrap="square" lIns="91425" tIns="45700" rIns="91425" bIns="45700" anchor="ctr" anchorCtr="0">
                          <a:noAutofit/>
                        </wps:bodyPr>
                      </wps:wsp>
                      <wps:wsp>
                        <wps:cNvPr id="27" name="Conector angular 27"/>
                        <wps:cNvCnPr/>
                        <wps:spPr>
                          <a:xfrm rot="16200000" flipH="1">
                            <a:off x="1067361" y="490373"/>
                            <a:ext cx="469456" cy="585554"/>
                          </a:xfrm>
                          <a:prstGeom prst="bentConnector3">
                            <a:avLst>
                              <a:gd name="adj1" fmla="val 41665"/>
                            </a:avLst>
                          </a:prstGeom>
                          <a:noFill/>
                          <a:ln w="9525" cap="flat" cmpd="sng">
                            <a:solidFill>
                              <a:srgbClr val="006666"/>
                            </a:solidFill>
                            <a:prstDash val="solid"/>
                            <a:miter lim="800000"/>
                            <a:headEnd type="none" w="sm" len="sm"/>
                            <a:tailEnd type="triangle" w="med" len="med"/>
                          </a:ln>
                        </wps:spPr>
                        <wps:bodyPr/>
                      </wps:wsp>
                      <wps:wsp>
                        <wps:cNvPr id="26" name="Rectángulo 26"/>
                        <wps:cNvSpPr/>
                        <wps:spPr>
                          <a:xfrm>
                            <a:off x="2553261" y="884073"/>
                            <a:ext cx="1601952" cy="826272"/>
                          </a:xfrm>
                          <a:prstGeom prst="rect">
                            <a:avLst/>
                          </a:prstGeom>
                          <a:solidFill>
                            <a:sysClr val="window" lastClr="FFFFFF"/>
                          </a:solidFill>
                          <a:ln w="12700" cap="flat" cmpd="sng">
                            <a:solidFill>
                              <a:sysClr val="windowText" lastClr="000000"/>
                            </a:solidFill>
                            <a:prstDash val="solid"/>
                            <a:miter lim="800000"/>
                            <a:headEnd type="none" w="sm" len="sm"/>
                            <a:tailEnd type="none" w="sm" len="sm"/>
                          </a:ln>
                        </wps:spPr>
                        <wps:txbx>
                          <w:txbxContent>
                            <w:p w14:paraId="3AF3A521" w14:textId="77777777" w:rsidR="00C42E70" w:rsidRPr="00D70EF5" w:rsidRDefault="00C42E70" w:rsidP="00D70EF5">
                              <w:pPr>
                                <w:spacing w:after="0" w:line="240" w:lineRule="auto"/>
                                <w:jc w:val="center"/>
                                <w:textDirection w:val="btLr"/>
                                <w:rPr>
                                  <w:rFonts w:ascii="Arial" w:hAnsi="Arial" w:cs="Arial"/>
                                  <w:sz w:val="18"/>
                                  <w:szCs w:val="18"/>
                                </w:rPr>
                              </w:pPr>
                              <w:r w:rsidRPr="00D70EF5">
                                <w:rPr>
                                  <w:rFonts w:ascii="Arial" w:eastAsia="Times New Roman" w:hAnsi="Arial" w:cs="Arial"/>
                                  <w:color w:val="000000"/>
                                  <w:sz w:val="18"/>
                                  <w:szCs w:val="18"/>
                                </w:rPr>
                                <w:t xml:space="preserve">Excluidos por duplicidad, idioma, tema y palabras clave (n = 1035) </w:t>
                              </w:r>
                            </w:p>
                          </w:txbxContent>
                        </wps:txbx>
                        <wps:bodyPr spcFirstLastPara="1" wrap="square" lIns="91425" tIns="45700" rIns="91425" bIns="45700" anchor="ctr" anchorCtr="0">
                          <a:noAutofit/>
                        </wps:bodyPr>
                      </wps:wsp>
                      <wps:wsp>
                        <wps:cNvPr id="30" name="Rectángulo 30"/>
                        <wps:cNvSpPr/>
                        <wps:spPr>
                          <a:xfrm>
                            <a:off x="1670611" y="1423"/>
                            <a:ext cx="1064895" cy="539750"/>
                          </a:xfrm>
                          <a:prstGeom prst="rect">
                            <a:avLst/>
                          </a:prstGeom>
                          <a:solidFill>
                            <a:schemeClr val="bg1">
                              <a:lumMod val="95000"/>
                            </a:schemeClr>
                          </a:solidFill>
                          <a:ln w="12700" cap="flat" cmpd="sng">
                            <a:solidFill>
                              <a:sysClr val="windowText" lastClr="000000"/>
                            </a:solidFill>
                            <a:prstDash val="solid"/>
                            <a:miter lim="800000"/>
                            <a:headEnd type="none" w="sm" len="sm"/>
                            <a:tailEnd type="none" w="sm" len="sm"/>
                          </a:ln>
                        </wps:spPr>
                        <wps:txbx>
                          <w:txbxContent>
                            <w:p w14:paraId="3012A7C6" w14:textId="77777777" w:rsidR="00C42E70" w:rsidRPr="00D70EF5" w:rsidRDefault="00C42E70" w:rsidP="00D70EF5">
                              <w:pPr>
                                <w:spacing w:after="0" w:line="240" w:lineRule="auto"/>
                                <w:jc w:val="center"/>
                                <w:textDirection w:val="btLr"/>
                                <w:rPr>
                                  <w:rFonts w:ascii="Arial" w:hAnsi="Arial" w:cs="Arial"/>
                                  <w:sz w:val="18"/>
                                  <w:szCs w:val="18"/>
                                </w:rPr>
                              </w:pPr>
                              <w:r w:rsidRPr="00D70EF5">
                                <w:rPr>
                                  <w:rFonts w:ascii="Arial" w:eastAsia="Times New Roman" w:hAnsi="Arial" w:cs="Arial"/>
                                  <w:color w:val="000000"/>
                                  <w:sz w:val="18"/>
                                  <w:szCs w:val="18"/>
                                </w:rPr>
                                <w:t>Scopus = 834</w:t>
                              </w:r>
                            </w:p>
                          </w:txbxContent>
                        </wps:txbx>
                        <wps:bodyPr spcFirstLastPara="1" wrap="square" lIns="91425" tIns="45700" rIns="91425" bIns="45700" anchor="ctr" anchorCtr="0">
                          <a:noAutofit/>
                        </wps:bodyPr>
                      </wps:wsp>
                      <wps:wsp>
                        <wps:cNvPr id="24" name="Rectángulo 24"/>
                        <wps:cNvSpPr/>
                        <wps:spPr>
                          <a:xfrm rot="16200000">
                            <a:off x="-310589" y="4046373"/>
                            <a:ext cx="904875" cy="280670"/>
                          </a:xfrm>
                          <a:prstGeom prst="rect">
                            <a:avLst/>
                          </a:prstGeom>
                          <a:solidFill>
                            <a:schemeClr val="bg1">
                              <a:lumMod val="95000"/>
                            </a:schemeClr>
                          </a:solidFill>
                          <a:ln w="12700" cap="flat" cmpd="sng">
                            <a:solidFill>
                              <a:sysClr val="windowText" lastClr="000000"/>
                            </a:solidFill>
                            <a:prstDash val="solid"/>
                            <a:miter lim="800000"/>
                            <a:headEnd type="none" w="sm" len="sm"/>
                            <a:tailEnd type="none" w="sm" len="sm"/>
                          </a:ln>
                        </wps:spPr>
                        <wps:txbx>
                          <w:txbxContent>
                            <w:p w14:paraId="72A8C286" w14:textId="77777777" w:rsidR="00C42E70" w:rsidRPr="00D70EF5" w:rsidRDefault="00C42E70" w:rsidP="00D70EF5">
                              <w:pPr>
                                <w:spacing w:after="0" w:line="240" w:lineRule="auto"/>
                                <w:jc w:val="center"/>
                                <w:textDirection w:val="btLr"/>
                                <w:rPr>
                                  <w:rFonts w:ascii="Arial" w:hAnsi="Arial" w:cs="Arial"/>
                                  <w:sz w:val="18"/>
                                  <w:szCs w:val="18"/>
                                </w:rPr>
                              </w:pPr>
                              <w:r w:rsidRPr="00D70EF5">
                                <w:rPr>
                                  <w:rFonts w:ascii="Arial" w:eastAsia="Times New Roman" w:hAnsi="Arial" w:cs="Arial"/>
                                  <w:color w:val="000000"/>
                                  <w:sz w:val="18"/>
                                  <w:szCs w:val="18"/>
                                </w:rPr>
                                <w:t>INCLUSIÓN</w:t>
                              </w:r>
                            </w:p>
                          </w:txbxContent>
                        </wps:txbx>
                        <wps:bodyPr spcFirstLastPara="1" wrap="square" lIns="91425" tIns="45700" rIns="91425" bIns="45700" anchor="ctr" anchorCtr="0">
                          <a:noAutofit/>
                        </wps:bodyPr>
                      </wps:wsp>
                      <wps:wsp>
                        <wps:cNvPr id="13" name="Rectángulo 13"/>
                        <wps:cNvSpPr/>
                        <wps:spPr>
                          <a:xfrm>
                            <a:off x="972111" y="3982873"/>
                            <a:ext cx="1247775" cy="655320"/>
                          </a:xfrm>
                          <a:prstGeom prst="rect">
                            <a:avLst/>
                          </a:prstGeom>
                          <a:solidFill>
                            <a:schemeClr val="bg1">
                              <a:lumMod val="95000"/>
                            </a:schemeClr>
                          </a:solidFill>
                          <a:ln w="12700" cap="flat" cmpd="sng">
                            <a:solidFill>
                              <a:sysClr val="windowText" lastClr="000000"/>
                            </a:solidFill>
                            <a:prstDash val="solid"/>
                            <a:miter lim="800000"/>
                            <a:headEnd type="none" w="sm" len="sm"/>
                            <a:tailEnd type="none" w="sm" len="sm"/>
                          </a:ln>
                        </wps:spPr>
                        <wps:txbx>
                          <w:txbxContent>
                            <w:p w14:paraId="0D86E092" w14:textId="77777777" w:rsidR="00C42E70" w:rsidRPr="00D70EF5" w:rsidRDefault="00C42E70" w:rsidP="00D70EF5">
                              <w:pPr>
                                <w:spacing w:after="0" w:line="240" w:lineRule="auto"/>
                                <w:jc w:val="center"/>
                                <w:textDirection w:val="btLr"/>
                                <w:rPr>
                                  <w:rFonts w:ascii="Arial" w:hAnsi="Arial" w:cs="Arial"/>
                                  <w:sz w:val="18"/>
                                  <w:szCs w:val="18"/>
                                </w:rPr>
                              </w:pPr>
                              <w:r w:rsidRPr="00D70EF5">
                                <w:rPr>
                                  <w:rFonts w:ascii="Arial" w:eastAsia="Times New Roman" w:hAnsi="Arial" w:cs="Arial"/>
                                  <w:color w:val="000000"/>
                                  <w:sz w:val="18"/>
                                  <w:szCs w:val="18"/>
                                </w:rPr>
                                <w:t xml:space="preserve">Artículos seleccionados para el análisis </w:t>
                              </w:r>
                              <w:r w:rsidRPr="00605538">
                                <w:rPr>
                                  <w:rFonts w:ascii="Arial" w:eastAsia="Times New Roman" w:hAnsi="Arial" w:cs="Arial"/>
                                  <w:b/>
                                  <w:color w:val="000000"/>
                                  <w:sz w:val="18"/>
                                  <w:szCs w:val="18"/>
                                </w:rPr>
                                <w:t>(n = 19)</w:t>
                              </w:r>
                            </w:p>
                          </w:txbxContent>
                        </wps:txbx>
                        <wps:bodyPr spcFirstLastPara="1" wrap="square" lIns="91425" tIns="45700" rIns="91425" bIns="45700" anchor="ctr" anchorCtr="0">
                          <a:noAutofit/>
                        </wps:bodyPr>
                      </wps:wsp>
                      <wps:wsp>
                        <wps:cNvPr id="12" name="Rectángulo 12"/>
                        <wps:cNvSpPr/>
                        <wps:spPr>
                          <a:xfrm>
                            <a:off x="927661" y="2922423"/>
                            <a:ext cx="1333196" cy="754852"/>
                          </a:xfrm>
                          <a:prstGeom prst="rect">
                            <a:avLst/>
                          </a:prstGeom>
                          <a:solidFill>
                            <a:sysClr val="window" lastClr="FFFFFF"/>
                          </a:solidFill>
                          <a:ln w="12700" cap="flat" cmpd="sng">
                            <a:solidFill>
                              <a:sysClr val="windowText" lastClr="000000"/>
                            </a:solidFill>
                            <a:prstDash val="solid"/>
                            <a:miter lim="800000"/>
                            <a:headEnd type="none" w="sm" len="sm"/>
                            <a:tailEnd type="none" w="sm" len="sm"/>
                          </a:ln>
                        </wps:spPr>
                        <wps:txbx>
                          <w:txbxContent>
                            <w:p w14:paraId="2BFC6A4D" w14:textId="77777777" w:rsidR="00C42E70" w:rsidRPr="00D70EF5" w:rsidRDefault="00C42E70" w:rsidP="00D70EF5">
                              <w:pPr>
                                <w:spacing w:after="0" w:line="240" w:lineRule="auto"/>
                                <w:jc w:val="center"/>
                                <w:textDirection w:val="btLr"/>
                                <w:rPr>
                                  <w:rFonts w:ascii="Arial" w:hAnsi="Arial" w:cs="Arial"/>
                                  <w:sz w:val="18"/>
                                  <w:szCs w:val="18"/>
                                </w:rPr>
                              </w:pPr>
                              <w:r w:rsidRPr="00D70EF5">
                                <w:rPr>
                                  <w:rFonts w:ascii="Arial" w:eastAsia="Times New Roman" w:hAnsi="Arial" w:cs="Arial"/>
                                  <w:color w:val="000000"/>
                                  <w:sz w:val="18"/>
                                  <w:szCs w:val="18"/>
                                </w:rPr>
                                <w:t xml:space="preserve">Artículos seleccionados para lectura completa </w:t>
                              </w:r>
                              <w:r w:rsidRPr="00D70EF5">
                                <w:rPr>
                                  <w:rFonts w:ascii="Arial" w:eastAsia="Times New Roman" w:hAnsi="Arial" w:cs="Arial"/>
                                  <w:color w:val="000000"/>
                                  <w:sz w:val="18"/>
                                  <w:szCs w:val="18"/>
                                </w:rPr>
                                <w:br/>
                                <w:t xml:space="preserve">(n = 137) </w:t>
                              </w:r>
                            </w:p>
                          </w:txbxContent>
                        </wps:txbx>
                        <wps:bodyPr spcFirstLastPara="1" wrap="square" lIns="91425" tIns="45700" rIns="91425" bIns="45700" anchor="ctr" anchorCtr="0">
                          <a:noAutofit/>
                        </wps:bodyPr>
                      </wps:wsp>
                      <wps:wsp>
                        <wps:cNvPr id="20" name="Conector recto de flecha 20"/>
                        <wps:cNvCnPr/>
                        <wps:spPr>
                          <a:xfrm rot="10800000" flipH="1">
                            <a:off x="2261161" y="3297073"/>
                            <a:ext cx="305872" cy="7479"/>
                          </a:xfrm>
                          <a:prstGeom prst="straightConnector1">
                            <a:avLst/>
                          </a:prstGeom>
                          <a:noFill/>
                          <a:ln w="9525" cap="flat" cmpd="sng">
                            <a:solidFill>
                              <a:srgbClr val="006666"/>
                            </a:solidFill>
                            <a:prstDash val="solid"/>
                            <a:miter lim="800000"/>
                            <a:headEnd type="none" w="sm" len="sm"/>
                            <a:tailEnd type="triangle" w="med" len="med"/>
                          </a:ln>
                        </wps:spPr>
                        <wps:bodyPr/>
                      </wps:wsp>
                      <wps:wsp>
                        <wps:cNvPr id="16" name="Rectángulo 16"/>
                        <wps:cNvSpPr/>
                        <wps:spPr>
                          <a:xfrm>
                            <a:off x="2565961" y="2833523"/>
                            <a:ext cx="1601945" cy="941321"/>
                          </a:xfrm>
                          <a:prstGeom prst="rect">
                            <a:avLst/>
                          </a:prstGeom>
                          <a:solidFill>
                            <a:sysClr val="window" lastClr="FFFFFF"/>
                          </a:solidFill>
                          <a:ln w="12700" cap="flat" cmpd="sng">
                            <a:solidFill>
                              <a:sysClr val="windowText" lastClr="000000"/>
                            </a:solidFill>
                            <a:prstDash val="solid"/>
                            <a:miter lim="800000"/>
                            <a:headEnd type="none" w="sm" len="sm"/>
                            <a:tailEnd type="none" w="sm" len="sm"/>
                          </a:ln>
                        </wps:spPr>
                        <wps:txbx>
                          <w:txbxContent>
                            <w:p w14:paraId="6B5898D6" w14:textId="77777777" w:rsidR="00C42E70" w:rsidRPr="00D70EF5" w:rsidRDefault="00C42E70" w:rsidP="00D70EF5">
                              <w:pPr>
                                <w:spacing w:after="0" w:line="240" w:lineRule="auto"/>
                                <w:jc w:val="center"/>
                                <w:textDirection w:val="btLr"/>
                                <w:rPr>
                                  <w:rFonts w:ascii="Arial" w:hAnsi="Arial" w:cs="Arial"/>
                                  <w:sz w:val="18"/>
                                  <w:szCs w:val="18"/>
                                </w:rPr>
                              </w:pPr>
                              <w:r w:rsidRPr="00D70EF5">
                                <w:rPr>
                                  <w:rFonts w:ascii="Arial" w:eastAsia="Times New Roman" w:hAnsi="Arial" w:cs="Arial"/>
                                  <w:color w:val="000000"/>
                                  <w:sz w:val="18"/>
                                  <w:szCs w:val="18"/>
                                </w:rPr>
                                <w:t>Excluidos por suministrar información no relacionada con los modelos de gobernanza en la gestión pública (n = 118)</w:t>
                              </w:r>
                            </w:p>
                          </w:txbxContent>
                        </wps:txbx>
                        <wps:bodyPr spcFirstLastPara="1" wrap="square" lIns="91425" tIns="45700" rIns="91425" bIns="45700" anchor="ctr" anchorCtr="0">
                          <a:noAutofit/>
                        </wps:bodyPr>
                      </wps:wsp>
                      <wps:wsp>
                        <wps:cNvPr id="28" name="Conector recto de flecha 28"/>
                        <wps:cNvCnPr/>
                        <wps:spPr>
                          <a:xfrm>
                            <a:off x="1594411" y="1582573"/>
                            <a:ext cx="1" cy="403121"/>
                          </a:xfrm>
                          <a:prstGeom prst="straightConnector1">
                            <a:avLst/>
                          </a:prstGeom>
                          <a:noFill/>
                          <a:ln w="9525" cap="flat" cmpd="sng">
                            <a:solidFill>
                              <a:srgbClr val="006666"/>
                            </a:solidFill>
                            <a:prstDash val="solid"/>
                            <a:miter lim="800000"/>
                            <a:headEnd type="none" w="sm" len="sm"/>
                            <a:tailEnd type="triangle" w="med" len="med"/>
                          </a:ln>
                        </wps:spPr>
                        <wps:bodyPr/>
                      </wps:wsp>
                      <wps:wsp>
                        <wps:cNvPr id="29" name="Conector recto de flecha 29"/>
                        <wps:cNvCnPr/>
                        <wps:spPr>
                          <a:xfrm rot="10800000" flipH="1">
                            <a:off x="2140511" y="1296823"/>
                            <a:ext cx="407895" cy="1175"/>
                          </a:xfrm>
                          <a:prstGeom prst="straightConnector1">
                            <a:avLst/>
                          </a:prstGeom>
                          <a:noFill/>
                          <a:ln w="9525" cap="flat" cmpd="sng">
                            <a:solidFill>
                              <a:srgbClr val="006666"/>
                            </a:solidFill>
                            <a:prstDash val="solid"/>
                            <a:miter lim="800000"/>
                            <a:headEnd type="none" w="sm" len="sm"/>
                            <a:tailEnd type="triangle" w="med" len="med"/>
                          </a:ln>
                        </wps:spPr>
                        <wps:bodyPr/>
                      </wps:wsp>
                      <wps:wsp>
                        <wps:cNvPr id="31" name="Conector angular 31"/>
                        <wps:cNvCnPr/>
                        <wps:spPr>
                          <a:xfrm rot="5400000">
                            <a:off x="1664261" y="484023"/>
                            <a:ext cx="469423" cy="598947"/>
                          </a:xfrm>
                          <a:prstGeom prst="bentConnector3">
                            <a:avLst>
                              <a:gd name="adj1" fmla="val 41589"/>
                            </a:avLst>
                          </a:prstGeom>
                          <a:noFill/>
                          <a:ln w="9525" cap="flat" cmpd="sng">
                            <a:solidFill>
                              <a:srgbClr val="006666"/>
                            </a:solidFill>
                            <a:prstDash val="solid"/>
                            <a:miter lim="800000"/>
                            <a:headEnd type="none" w="sm" len="sm"/>
                            <a:tailEnd type="triangle" w="med" len="med"/>
                          </a:ln>
                        </wps:spPr>
                        <wps:bodyPr/>
                      </wps:wsp>
                      <wps:wsp>
                        <wps:cNvPr id="32" name="Conector recto de flecha 32"/>
                        <wps:cNvCnPr/>
                        <wps:spPr>
                          <a:xfrm flipH="1">
                            <a:off x="1594411" y="3690773"/>
                            <a:ext cx="749" cy="291263"/>
                          </a:xfrm>
                          <a:prstGeom prst="straightConnector1">
                            <a:avLst/>
                          </a:prstGeom>
                          <a:noFill/>
                          <a:ln w="9525" cap="flat" cmpd="sng">
                            <a:solidFill>
                              <a:srgbClr val="006666"/>
                            </a:solidFill>
                            <a:prstDash val="solid"/>
                            <a:miter lim="800000"/>
                            <a:headEnd type="none" w="sm" len="sm"/>
                            <a:tailEnd type="triangle" w="med" len="med"/>
                          </a:ln>
                        </wps:spPr>
                        <wps:bodyPr/>
                      </wps:wsp>
                    </wpg:wgp>
                  </a:graphicData>
                </a:graphic>
              </wp:anchor>
            </w:drawing>
          </mc:Choice>
          <mc:Fallback>
            <w:pict>
              <v:group w14:anchorId="3765F335" id="Grupo 33" o:spid="_x0000_s1026" style="position:absolute;left:0;text-align:left;margin-left:0;margin-top:11.5pt;width:328.2pt;height:365.3pt;z-index:-251656192;mso-position-horizontal:center;mso-position-horizontal-relative:margin" coordsize="41679,46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Jd6SgcAAAU8AAAOAAAAZHJzL2Uyb0RvYy54bWzsW9ty2zYQfe9M/4HD90QEQPCiiZzpOLHb&#10;mbT1NOkHwCQlscNbScqyP6ff0h/rwYWULFKR43gcZ0o92CQIgsByz+7ZXfDN29s8s26SuknLYmGT&#10;145tJUVUxmmxWth/frp4FdhW04oiFllZJAv7Lmnst2c//vBmW80TWq7LLE5qC4MUzXxbLex121bz&#10;2ayJ1kkumtdllRS4uCzrXLQ4rVezuBZbjJ5nM+o43mxb1nFVl1HSNGh9py/aZ2r85TKJ2t+XyyZp&#10;rWxhY26t+lurv9fy7+zsjZivalGt08hMQzxiFrlICzy0H+qdaIW1qdPBUHka1WVTLtvXUZnPyuUy&#10;jRK1BqyGOAeruazLTaXWsppvV1UvJoj2QE6PHjb67eaqttJ4YTNmW4XI8Y4u601VWjiHcLbVao4+&#10;l3X1sbqqTcNKn8n13i7rXP7HSqxbJda7XqzJbWtFaHSJ54eOZ1sRrrkeC4nLteCjNd7O4L5o/f7E&#10;nbPuwTM5v3462wpK1Ozk1HydnD6uRZUo8TdSBkZOfiemP6Bc//5TrDZZaflaVqpfL6hm3kBmI1Jy&#10;qecQYlsQB3GpkrOYd9IixHcC10iLsxA/OXi/ZDGv6qa9TMrckgcLu8Y8lO6Jmw9Nq7t2XeTDmzJL&#10;44s0y9SJBFZyntXWjQAkrldE3Zpt8l/LWLeF3HEUMPBIhUPZXU3g3khZYW0xf+qjsxUJYHeZiRaH&#10;eQVtaoqVGvjeLc1d0z8ZGI7L7Ses2rYy0bS4AMVRP7Pce7fKBb0TzVpPUV3SKpSnLQxIluYLO+jv&#10;FvN1IuL3RWy1dxU0uoDtseV0mxxPS2CpcABJiXkr0ux0P0giKyACqWD6ncqj9vb6ViGimV+X8R30&#10;o6miixQz/YAFXYkalgRveQvrggf+vRE1JpH9UkAtAQHKYY7UicuVDOv9K9f7V0QRrUuIJ2pr29In&#10;560yYnIJRfnTpi2XqXr1cl56Mma6wINE8TMAg2BB2oDsIwOtRkaA0GloUM4Z9Qw2QrxQ/xAegE7I&#10;0UEak4B61CdGXzpT1On+o+Ax0NA97bxQP/O0e9o5YUFiQbkR9TZ2Wvg/hwT0dAQSvYweBInQp6Tz&#10;FqHU+ENEUDdgDtWI8DgPqPJGT+UwJkSc8iLHvYNCBO0M4OQk4A/DDhHn8MlRW9aW5C+lFSfWMkui&#10;tbDQZecxzgvDOjvHq5mfVZdgPsQxLh+3ptXP0ttKh2i4KKWUOcaVUEZocAgcxhwuWa/0JIQFJ2hW&#10;09YiXa1bzFtPXD/sCOkqSsm4FMXQziHk0uE/kCfVq+ueKCHIwW/M6zwPJ2rrVBSrDNQF/ClPYkOg&#10;5BGWN677WtPlZcM8nomC0FF7i9adQh2hIEahPMSU+O2r0SsX9hXKIdk6iHswICSEcYfhulQjGhAa&#10;Kvv8VOZ34utPytd1qNvpw2SRobJgDkOOgtavwQz1ARqNGeK53oDFK+JuKMuEGRObP489PxYLj1vy&#10;nte7nT5MmAFm+lzZfqir+YX0eMd5/Wf8DPMUCZF+hvq+xwaOBjkjJp+sHI1PQz45Gp0Me4mJIeVo&#10;+tzHBBoo9Wh+CK0nHc0eqScOgt0uGnaIP0yfOiFDCKxRwj1K2BQNp4qqi/k3zpUqSKhIZsoP6ZoL&#10;MjWGe/XRMGKtTSZqSydxjDP5fBTcBS2jUTBxPB+eRYcvoTPwKq4XuryrNgScc+Xoj0cv10mxC4GZ&#10;CpRUCCwxuorNakT8F564zDNkwFFnsFAB8hTOMa7pjaMuUauT2FO8/A3iZbz4Ee7fY/Q4j9kzyfsp&#10;+yBwB1yfqIy9sciG+MuldjW8nSJMGXtTkH6u6pWyyH3tciIpqIKjmDlEBFq/iKR4PhKP2uaOFHgd&#10;D7GxTAaC6aPA6/Ou2vokFawpYfT0CaOge/0TRMDj3TGIoPUkRD4X/BKHd0lWB3tEDoPfELzfN5ih&#10;ATjNhJkXHvv2VZwJM7K8NIYZtJ7EzB7R2isEMxSCh5UI6vp+BxIUghmdQPLCQUJ6YjGhBCgZLUWg&#10;9YtQQn2vq/qGlA4TRIwxEpqI1+duwNX4UziCAP4lJIjAm83rniABstXHI32G6HC/hLbyD8oUndgv&#10;gZjFIIfR0B8E8tguEfgmjvddf9ovMbqH9HvaL0FG8z9o/RKDS7nHw87iBozxw302KgGELd8q4A1d&#10;FLEUxCeL+1Isbu9gJ4sLi4svVnQG6LjF7fMBSJAeyc3v8XbCQ9ft0kGoTfHD4BaZIpkLch3sUjsB&#10;jWkX2newC+30HkfaR8fHNehBexyJ6/BOtWjoDfY4Ih3f5xrxZUlXhDmSaZy06+VrF4O1OLBPXc0Q&#10;l3aO+4hd0lrF3cE+R5TosL1RJ61dlHEOvbgsFHa7T3gYhO6JuvojC4UyC4hFgBxMhcLhJ0faQUv5&#10;SL7/fN/2sD4yP+oU0eW08o3t0953j8wLHf/QPfput7s2JNQ7selpMmFfZcLUB5X41lQh0HwXKz9m&#10;3T9X2rf7evfsPwAAAP//AwBQSwMEFAAGAAgAAAAhABrnMA3fAAAABwEAAA8AAABkcnMvZG93bnJl&#10;di54bWxMj0FLw0AQhe+C/2EZwZvdpDFRYialFPVUBFtBvG2z0yQ0uxuy2yT9944nexoe7/HeN8Vq&#10;Np0YafCtswjxIgJBtnK6tTXC1/7t4RmED8pq1TlLCBfysCpvbwqVazfZTxp3oRZcYn2uEJoQ+lxK&#10;XzVklF+4nix7RzcYFVgOtdSDmrjcdHIZRZk0qrW80KieNg1Vp93ZILxPalon8eu4PR03l599+vG9&#10;jQnx/m5ev4AINIf/MPzhMzqUzHRwZ6u96BD4kYCwTPiym6XZI4gDwlOaZCDLQl7zl78AAAD//wMA&#10;UEsBAi0AFAAGAAgAAAAhALaDOJL+AAAA4QEAABMAAAAAAAAAAAAAAAAAAAAAAFtDb250ZW50X1R5&#10;cGVzXS54bWxQSwECLQAUAAYACAAAACEAOP0h/9YAAACUAQAACwAAAAAAAAAAAAAAAAAvAQAAX3Jl&#10;bHMvLnJlbHNQSwECLQAUAAYACAAAACEAF5yXekoHAAAFPAAADgAAAAAAAAAAAAAAAAAuAgAAZHJz&#10;L2Uyb0RvYy54bWxQSwECLQAUAAYACAAAACEAGucwDd8AAAAHAQAADwAAAAAAAAAAAAAAAACkCQAA&#10;ZHJzL2Rvd25yZXYueG1sUEsFBgAAAAAEAAQA8wAAALAKAAAAAA==&#10;">
                <v:rect id="Rectángulo 7" o:spid="_x0000_s1027" style="position:absolute;left:4260;top:14;width:11708;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QAvgAAANoAAAAPAAAAZHJzL2Rvd25yZXYueG1sRI/BbsIw&#10;EETvSP0HaytxAwcOBQUMgopWXCF8wMpekojsOsQupH+PkZA4jmbmjWa57rlRN+pC7cXAZJyBIrHe&#10;1VIaOBU/ozmoEFEcNl7IwD8FWK8+BkvMnb/LgW7HWKoEkZCjgSrGNtc62IoYw9i3JMk7+44xJtmV&#10;2nV4T3Bu9DTLvjRjLWmhwpa+K7KX4x8buPDV0+G3JKbrtigs72zdn4wZfvabBahIfXyHX+29MzCD&#10;55V0A/TqAQAA//8DAFBLAQItABQABgAIAAAAIQDb4fbL7gAAAIUBAAATAAAAAAAAAAAAAAAAAAAA&#10;AABbQ29udGVudF9UeXBlc10ueG1sUEsBAi0AFAAGAAgAAAAhAFr0LFu/AAAAFQEAAAsAAAAAAAAA&#10;AAAAAAAAHwEAAF9yZWxzLy5yZWxzUEsBAi0AFAAGAAgAAAAhAHvz5AC+AAAA2gAAAA8AAAAAAAAA&#10;AAAAAAAABwIAAGRycy9kb3ducmV2LnhtbFBLBQYAAAAAAwADALcAAADyAgAAAAA=&#10;" fillcolor="#f2f2f2 [3052]" strokecolor="windowText" strokeweight="1pt">
                  <v:stroke startarrowwidth="narrow" startarrowlength="short" endarrowwidth="narrow" endarrowlength="short"/>
                  <v:textbox inset="2.53958mm,1.2694mm,2.53958mm,1.2694mm">
                    <w:txbxContent>
                      <w:p w14:paraId="31B48F51" w14:textId="77777777" w:rsidR="00C42E70" w:rsidRPr="00D70EF5" w:rsidRDefault="00C42E70" w:rsidP="00D70EF5">
                        <w:pPr>
                          <w:spacing w:after="0" w:line="240" w:lineRule="auto"/>
                          <w:jc w:val="center"/>
                          <w:textDirection w:val="btLr"/>
                          <w:rPr>
                            <w:rFonts w:ascii="Arial" w:hAnsi="Arial" w:cs="Arial"/>
                            <w:sz w:val="18"/>
                            <w:szCs w:val="18"/>
                          </w:rPr>
                        </w:pPr>
                        <w:r w:rsidRPr="00D70EF5">
                          <w:rPr>
                            <w:rFonts w:ascii="Arial" w:eastAsia="Times New Roman" w:hAnsi="Arial" w:cs="Arial"/>
                            <w:color w:val="000000"/>
                            <w:sz w:val="18"/>
                            <w:szCs w:val="18"/>
                          </w:rPr>
                          <w:t>Google Académico = 1058</w:t>
                        </w:r>
                      </w:p>
                    </w:txbxContent>
                  </v:textbox>
                </v:rect>
                <v:rect id="Rectángulo 15" o:spid="_x0000_s1028" style="position:absolute;left:25532;top:19000;width:16020;height:8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0u4wwAAANsAAAAPAAAAZHJzL2Rvd25yZXYueG1sRE9LawIx&#10;EL4L/Q9hCr2UmrXYB1vjsgilC4JQHwdvQzJuFjeTZZPq+u8bQfA2H99zZsXgWnGiPjSeFUzGGQhi&#10;7U3DtYLt5vvlE0SIyAZbz6TgQgGK+cNohrnxZ/6l0zrWIoVwyFGBjbHLpQzaksMw9h1x4g6+dxgT&#10;7GtpejyncNfK1yx7lw4bTg0WO1pY0sf1n1NQLqZ1d9FV9bHLpstnu+fJSv8o9fQ4lF8gIg3xLr65&#10;K5Pmv8H1l3SAnP8DAAD//wMAUEsBAi0AFAAGAAgAAAAhANvh9svuAAAAhQEAABMAAAAAAAAAAAAA&#10;AAAAAAAAAFtDb250ZW50X1R5cGVzXS54bWxQSwECLQAUAAYACAAAACEAWvQsW78AAAAVAQAACwAA&#10;AAAAAAAAAAAAAAAfAQAAX3JlbHMvLnJlbHNQSwECLQAUAAYACAAAACEAT0dLuMMAAADbAAAADwAA&#10;AAAAAAAAAAAAAAAHAgAAZHJzL2Rvd25yZXYueG1sUEsFBgAAAAADAAMAtwAAAPcCAAAAAA==&#10;" fillcolor="window" strokecolor="windowText" strokeweight="1pt">
                  <v:stroke startarrowwidth="narrow" startarrowlength="short" endarrowwidth="narrow" endarrowlength="short"/>
                  <v:textbox inset="2.53958mm,1.2694mm,2.53958mm,1.2694mm">
                    <w:txbxContent>
                      <w:p w14:paraId="0A61F74A" w14:textId="77777777" w:rsidR="00C42E70" w:rsidRPr="00D70EF5" w:rsidRDefault="00C42E70" w:rsidP="00D70EF5">
                        <w:pPr>
                          <w:spacing w:after="0" w:line="240" w:lineRule="auto"/>
                          <w:jc w:val="center"/>
                          <w:textDirection w:val="btLr"/>
                          <w:rPr>
                            <w:rFonts w:ascii="Arial" w:hAnsi="Arial" w:cs="Arial"/>
                            <w:sz w:val="18"/>
                            <w:szCs w:val="18"/>
                          </w:rPr>
                        </w:pPr>
                        <w:r w:rsidRPr="00D70EF5">
                          <w:rPr>
                            <w:rFonts w:ascii="Arial" w:eastAsia="Times New Roman" w:hAnsi="Arial" w:cs="Arial"/>
                            <w:color w:val="000000"/>
                            <w:sz w:val="18"/>
                            <w:szCs w:val="18"/>
                          </w:rPr>
                          <w:t>Excluidos por criterios metodológicos (n = 720)</w:t>
                        </w:r>
                      </w:p>
                    </w:txbxContent>
                  </v:textbox>
                </v:rect>
                <v:rect id="Rectángulo 11" o:spid="_x0000_s1029" style="position:absolute;left:9721;top:19826;width:12483;height:65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E27wgAAANsAAAAPAAAAZHJzL2Rvd25yZXYueG1sRE9NawIx&#10;EL0X/A9hCl6KZleklq1RRBAXBKFqD96GZLpZupksm6jrvzdCobd5vM+ZL3vXiCt1ofasIB9nIIi1&#10;NzVXCk7HzegDRIjIBhvPpOBOAZaLwcscC+Nv/EXXQ6xECuFQoAIbY1tIGbQlh2HsW+LE/fjOYUyw&#10;q6Tp8JbCXSMnWfYuHdacGiy2tLakfw8Xp2C1nlbtXZfl7Dub7t7smfO93io1fO1XnyAi9fFf/Ocu&#10;TZqfw/OXdIBcPAAAAP//AwBQSwECLQAUAAYACAAAACEA2+H2y+4AAACFAQAAEwAAAAAAAAAAAAAA&#10;AAAAAAAAW0NvbnRlbnRfVHlwZXNdLnhtbFBLAQItABQABgAIAAAAIQBa9CxbvwAAABUBAAALAAAA&#10;AAAAAAAAAAAAAB8BAABfcmVscy8ucmVsc1BLAQItABQABgAIAAAAIQAwfE27wgAAANsAAAAPAAAA&#10;AAAAAAAAAAAAAAcCAABkcnMvZG93bnJldi54bWxQSwUGAAAAAAMAAwC3AAAA9gIAAAAA&#10;" fillcolor="window" strokecolor="windowText" strokeweight="1pt">
                  <v:stroke startarrowwidth="narrow" startarrowlength="short" endarrowwidth="narrow" endarrowlength="short"/>
                  <v:textbox inset="2.53958mm,1.2694mm,2.53958mm,1.2694mm">
                    <w:txbxContent>
                      <w:p w14:paraId="76EAE266" w14:textId="77777777" w:rsidR="00C42E70" w:rsidRPr="00D70EF5" w:rsidRDefault="00C42E70" w:rsidP="00D70EF5">
                        <w:pPr>
                          <w:spacing w:after="0" w:line="240" w:lineRule="auto"/>
                          <w:jc w:val="center"/>
                          <w:textDirection w:val="btLr"/>
                          <w:rPr>
                            <w:rFonts w:ascii="Arial" w:hAnsi="Arial" w:cs="Arial"/>
                            <w:sz w:val="18"/>
                            <w:szCs w:val="18"/>
                          </w:rPr>
                        </w:pPr>
                        <w:r w:rsidRPr="00D70EF5">
                          <w:rPr>
                            <w:rFonts w:ascii="Arial" w:eastAsia="Times New Roman" w:hAnsi="Arial" w:cs="Arial"/>
                            <w:color w:val="000000"/>
                            <w:sz w:val="18"/>
                            <w:szCs w:val="18"/>
                          </w:rPr>
                          <w:t xml:space="preserve">Artículos seleccionados </w:t>
                        </w:r>
                        <w:r w:rsidRPr="00D70EF5">
                          <w:rPr>
                            <w:rFonts w:ascii="Arial" w:eastAsia="Times New Roman" w:hAnsi="Arial" w:cs="Arial"/>
                            <w:color w:val="000000"/>
                            <w:sz w:val="18"/>
                            <w:szCs w:val="18"/>
                          </w:rPr>
                          <w:br/>
                          <w:t>(n = 857)</w:t>
                        </w:r>
                      </w:p>
                    </w:txbxContent>
                  </v:textbox>
                </v:rect>
                <v:shapetype id="_x0000_t32" coordsize="21600,21600" o:spt="32" o:oned="t" path="m,l21600,21600e" filled="f">
                  <v:path arrowok="t" fillok="f" o:connecttype="none"/>
                  <o:lock v:ext="edit" shapetype="t"/>
                </v:shapetype>
                <v:shape id="Conector recto de flecha 19" o:spid="_x0000_s1030" type="#_x0000_t32" style="position:absolute;left:22230;top:23128;width:3305;height:14;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PPvwAAANsAAAAPAAAAZHJzL2Rvd25yZXYueG1sRE9Ni8Iw&#10;EL0v+B/CCN7WVA9urUYRQfBW2t2Lt6EZ22ozKUnU+u+NIOxtHu9z1tvBdOJOzreWFcymCQjiyuqW&#10;awV/v4fvFIQPyBo7y6TgSR62m9HXGjNtH1zQvQy1iCHsM1TQhNBnUvqqIYN+anviyJ2tMxgidLXU&#10;Dh8x3HRyniQLabDl2NBgT/uGqmt5Mwp+8OQOeVmkl3RxxPyZz06F75SajIfdCkSgIfyLP+6jjvOX&#10;8P4lHiA3LwAAAP//AwBQSwECLQAUAAYACAAAACEA2+H2y+4AAACFAQAAEwAAAAAAAAAAAAAAAAAA&#10;AAAAW0NvbnRlbnRfVHlwZXNdLnhtbFBLAQItABQABgAIAAAAIQBa9CxbvwAAABUBAAALAAAAAAAA&#10;AAAAAAAAAB8BAABfcmVscy8ucmVsc1BLAQItABQABgAIAAAAIQDB+UPPvwAAANsAAAAPAAAAAAAA&#10;AAAAAAAAAAcCAABkcnMvZG93bnJldi54bWxQSwUGAAAAAAMAAwC3AAAA8wIAAAAA&#10;" strokecolor="#066">
                  <v:stroke startarrowwidth="narrow" startarrowlength="short" endarrow="block" joinstyle="miter"/>
                </v:shape>
                <v:rect id="Rectángulo 21" o:spid="_x0000_s1031" style="position:absolute;left:-4249;top:4268;width:11350;height:281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jUFxAAAANsAAAAPAAAAZHJzL2Rvd25yZXYueG1sRI/dasJA&#10;FITvC77DcgTv6kYvpERX8YdAKWJb9QEO2WM2MXs2Zjca375bKPRymJlvmMWqt7W4U+tLxwom4wQE&#10;ce50yYWC8yl7fQPhA7LG2jEpeJKH1XLwssBUuwd/0/0YChEh7FNUYEJoUil9bsiiH7uGOHoX11oM&#10;UbaF1C0+ItzWcpokM2mx5LhgsKGtofx67KyC3Gx21Ve1s9Vt9vmx78pDlp07pUbDfj0HEagP/+G/&#10;9rtWMJ3A75f4A+TyBwAA//8DAFBLAQItABQABgAIAAAAIQDb4fbL7gAAAIUBAAATAAAAAAAAAAAA&#10;AAAAAAAAAABbQ29udGVudF9UeXBlc10ueG1sUEsBAi0AFAAGAAgAAAAhAFr0LFu/AAAAFQEAAAsA&#10;AAAAAAAAAAAAAAAAHwEAAF9yZWxzLy5yZWxzUEsBAi0AFAAGAAgAAAAhAD2WNQXEAAAA2wAAAA8A&#10;AAAAAAAAAAAAAAAABwIAAGRycy9kb3ducmV2LnhtbFBLBQYAAAAAAwADALcAAAD4AgAAAAA=&#10;" fillcolor="#f2f2f2 [3052]" strokecolor="windowText" strokeweight="1pt">
                  <v:stroke startarrowwidth="narrow" startarrowlength="short" endarrowwidth="narrow" endarrowlength="short"/>
                  <v:textbox inset="2.53958mm,1.2694mm,2.53958mm,1.2694mm">
                    <w:txbxContent>
                      <w:p w14:paraId="40EC4A78" w14:textId="77777777" w:rsidR="00C42E70" w:rsidRPr="00D70EF5" w:rsidRDefault="00C42E70" w:rsidP="00D70EF5">
                        <w:pPr>
                          <w:spacing w:after="0" w:line="240" w:lineRule="auto"/>
                          <w:jc w:val="center"/>
                          <w:textDirection w:val="btLr"/>
                          <w:rPr>
                            <w:rFonts w:ascii="Arial" w:hAnsi="Arial" w:cs="Arial"/>
                            <w:sz w:val="18"/>
                            <w:szCs w:val="18"/>
                          </w:rPr>
                        </w:pPr>
                        <w:r w:rsidRPr="00D70EF5">
                          <w:rPr>
                            <w:rFonts w:ascii="Arial" w:eastAsia="Times New Roman" w:hAnsi="Arial" w:cs="Arial"/>
                            <w:color w:val="000000"/>
                            <w:sz w:val="18"/>
                            <w:szCs w:val="18"/>
                          </w:rPr>
                          <w:t>IDENTIFICACIÓN</w:t>
                        </w:r>
                      </w:p>
                    </w:txbxContent>
                  </v:textbox>
                </v:rect>
                <v:rect id="Rectángulo 22" o:spid="_x0000_s1032" style="position:absolute;left:-2726;top:16461;width:8263;height:28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KtyxAAAANsAAAAPAAAAZHJzL2Rvd25yZXYueG1sRI/RasJA&#10;FETfC/7DcgXf6sY8SImuUpVAKWKr9QMu2dts0uzdmN1o/PtuoeDjMDNnmOV6sI24Uucrxwpm0wQE&#10;ceF0xaWC81f+/ALCB2SNjWNScCcP69XoaYmZdjc+0vUUShEh7DNUYEJoMyl9Yciin7qWOHrfrrMY&#10;ouxKqTu8RbhtZJokc2mx4rhgsKWtoeLn1FsFhdns6s96Z+vL/ON931eHPD/3Sk3Gw+sCRKAhPML/&#10;7TetIE3h70v8AXL1CwAA//8DAFBLAQItABQABgAIAAAAIQDb4fbL7gAAAIUBAAATAAAAAAAAAAAA&#10;AAAAAAAAAABbQ29udGVudF9UeXBlc10ueG1sUEsBAi0AFAAGAAgAAAAhAFr0LFu/AAAAFQEAAAsA&#10;AAAAAAAAAAAAAAAAHwEAAF9yZWxzLy5yZWxzUEsBAi0AFAAGAAgAAAAhAM1Eq3LEAAAA2wAAAA8A&#10;AAAAAAAAAAAAAAAABwIAAGRycy9kb3ducmV2LnhtbFBLBQYAAAAAAwADALcAAAD4AgAAAAA=&#10;" fillcolor="#f2f2f2 [3052]" strokecolor="windowText" strokeweight="1pt">
                  <v:stroke startarrowwidth="narrow" startarrowlength="short" endarrowwidth="narrow" endarrowlength="short"/>
                  <v:textbox inset="2.53958mm,1.2694mm,2.53958mm,1.2694mm">
                    <w:txbxContent>
                      <w:p w14:paraId="43F1B9D5" w14:textId="77777777" w:rsidR="00C42E70" w:rsidRPr="00D70EF5" w:rsidRDefault="00C42E70" w:rsidP="00D70EF5">
                        <w:pPr>
                          <w:spacing w:after="0" w:line="240" w:lineRule="auto"/>
                          <w:jc w:val="center"/>
                          <w:textDirection w:val="btLr"/>
                          <w:rPr>
                            <w:rFonts w:ascii="Arial" w:hAnsi="Arial" w:cs="Arial"/>
                            <w:sz w:val="18"/>
                            <w:szCs w:val="18"/>
                          </w:rPr>
                        </w:pPr>
                        <w:r w:rsidRPr="00D70EF5">
                          <w:rPr>
                            <w:rFonts w:ascii="Arial" w:eastAsia="Times New Roman" w:hAnsi="Arial" w:cs="Arial"/>
                            <w:color w:val="000000"/>
                            <w:sz w:val="18"/>
                            <w:szCs w:val="18"/>
                          </w:rPr>
                          <w:t>CRIBADO</w:t>
                        </w:r>
                      </w:p>
                    </w:txbxContent>
                  </v:textbox>
                </v:rect>
                <v:rect id="Rectángulo 23" o:spid="_x0000_s1033" style="position:absolute;left:-3615;top:27763;width:10114;height:273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A7pxQAAANsAAAAPAAAAZHJzL2Rvd25yZXYueG1sRI/dasJA&#10;FITvC77DcoTe6UYLUqKr+EOglGJb9QEO2WM2MXs2zW40ffuuIPRymJlvmMWqt7W4UutLxwom4wQE&#10;ce50yYWC0zEbvYLwAVlj7ZgU/JKH1XLwtMBUuxt/0/UQChEh7FNUYEJoUil9bsiiH7uGOHpn11oM&#10;UbaF1C3eItzWcpokM2mx5LhgsKGtofxy6KyC3Gx21Ve1s9XP7PP9oyv3WXbqlHoe9us5iEB9+A8/&#10;2m9awfQF7l/iD5DLPwAAAP//AwBQSwECLQAUAAYACAAAACEA2+H2y+4AAACFAQAAEwAAAAAAAAAA&#10;AAAAAAAAAAAAW0NvbnRlbnRfVHlwZXNdLnhtbFBLAQItABQABgAIAAAAIQBa9CxbvwAAABUBAAAL&#10;AAAAAAAAAAAAAAAAAB8BAABfcmVscy8ucmVsc1BLAQItABQABgAIAAAAIQCiCA7pxQAAANsAAAAP&#10;AAAAAAAAAAAAAAAAAAcCAABkcnMvZG93bnJldi54bWxQSwUGAAAAAAMAAwC3AAAA+QIAAAAA&#10;" fillcolor="#f2f2f2 [3052]" strokecolor="windowText" strokeweight="1pt">
                  <v:stroke startarrowwidth="narrow" startarrowlength="short" endarrowwidth="narrow" endarrowlength="short"/>
                  <v:textbox inset="2.53958mm,1.2694mm,2.53958mm,1.2694mm">
                    <w:txbxContent>
                      <w:p w14:paraId="2B72EADC" w14:textId="77777777" w:rsidR="00C42E70" w:rsidRPr="00D70EF5" w:rsidRDefault="00C42E70" w:rsidP="00D70EF5">
                        <w:pPr>
                          <w:spacing w:after="0" w:line="240" w:lineRule="auto"/>
                          <w:jc w:val="center"/>
                          <w:textDirection w:val="btLr"/>
                          <w:rPr>
                            <w:rFonts w:ascii="Arial" w:hAnsi="Arial" w:cs="Arial"/>
                            <w:sz w:val="18"/>
                            <w:szCs w:val="18"/>
                          </w:rPr>
                        </w:pPr>
                        <w:r w:rsidRPr="00D70EF5">
                          <w:rPr>
                            <w:rFonts w:ascii="Arial" w:eastAsia="Times New Roman" w:hAnsi="Arial" w:cs="Arial"/>
                            <w:color w:val="000000"/>
                            <w:sz w:val="18"/>
                            <w:szCs w:val="18"/>
                          </w:rPr>
                          <w:t>ELEGIBILIDAD</w:t>
                        </w:r>
                      </w:p>
                    </w:txbxContent>
                  </v:textbox>
                </v:rect>
                <v:rect id="Rectángulo 25" o:spid="_x0000_s1034" style="position:absolute;left:10483;top:10174;width:10935;height:56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4EFxQAAANsAAAAPAAAAZHJzL2Rvd25yZXYueG1sRI9PawIx&#10;FMTvBb9DeEIvRbOKVdkaRYTSBaHgv4O3R/K6Wdy8LJuo67dvhEKPw8z8hlmsOleLG7Wh8qxgNMxA&#10;EGtvKi4VHA+fgzmIEJEN1p5JwYMCrJa9lwXmxt95R7d9LEWCcMhRgY2xyaUM2pLDMPQNcfJ+fOsw&#10;JtmW0rR4T3BXy3GWTaXDitOCxYY2lvRlf3UK1ptJ2Tx0UcxO2WT7Zs88+tZfSr32u/UHiEhd/A//&#10;tQujYPwOzy/pB8jlLwAAAP//AwBQSwECLQAUAAYACAAAACEA2+H2y+4AAACFAQAAEwAAAAAAAAAA&#10;AAAAAAAAAAAAW0NvbnRlbnRfVHlwZXNdLnhtbFBLAQItABQABgAIAAAAIQBa9CxbvwAAABUBAAAL&#10;AAAAAAAAAAAAAAAAAB8BAABfcmVscy8ucmVsc1BLAQItABQABgAIAAAAIQCBK4EFxQAAANsAAAAP&#10;AAAAAAAAAAAAAAAAAAcCAABkcnMvZG93bnJldi54bWxQSwUGAAAAAAMAAwC3AAAA+QIAAAAA&#10;" fillcolor="window" strokecolor="windowText" strokeweight="1pt">
                  <v:stroke startarrowwidth="narrow" startarrowlength="short" endarrowwidth="narrow" endarrowlength="short"/>
                  <v:textbox inset="2.53958mm,1.2694mm,2.53958mm,1.2694mm">
                    <w:txbxContent>
                      <w:p w14:paraId="4F3B8F42" w14:textId="77777777" w:rsidR="00C42E70" w:rsidRPr="00D70EF5" w:rsidRDefault="00C42E70" w:rsidP="00D70EF5">
                        <w:pPr>
                          <w:spacing w:after="0" w:line="240" w:lineRule="auto"/>
                          <w:jc w:val="center"/>
                          <w:textDirection w:val="btLr"/>
                          <w:rPr>
                            <w:rFonts w:ascii="Arial" w:hAnsi="Arial" w:cs="Arial"/>
                            <w:sz w:val="18"/>
                            <w:szCs w:val="18"/>
                          </w:rPr>
                        </w:pPr>
                        <w:r w:rsidRPr="00D70EF5">
                          <w:rPr>
                            <w:rFonts w:ascii="Arial" w:eastAsia="Times New Roman" w:hAnsi="Arial" w:cs="Arial"/>
                            <w:color w:val="000000"/>
                            <w:sz w:val="18"/>
                            <w:szCs w:val="18"/>
                          </w:rPr>
                          <w:t>Total (n = 1892)</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ector angular 27" o:spid="_x0000_s1035" type="#_x0000_t34" style="position:absolute;left:10674;top:4903;width:4694;height:585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rf8wwAAANsAAAAPAAAAZHJzL2Rvd25yZXYueG1sRI9Ba8JA&#10;FITvgv9heUJvZtMcWkmzkaIW6rEqhd5es88kmH2b7G5N+u+7BcHjMDPfMMV6Mp24kvOtZQWPSQqC&#10;uLK65VrB6fi2XIHwAVljZ5kU/JKHdTmfFZhrO/IHXQ+hFhHCPkcFTQh9LqWvGjLoE9sTR+9sncEQ&#10;pauldjhGuOlklqZP0mDLcaHBnjYNVZfDj1Ew6c8Md73ZD1n6ta02+4G+x0Gph8X0+gIi0BTu4Vv7&#10;XSvInuH/S/wBsvwDAAD//wMAUEsBAi0AFAAGAAgAAAAhANvh9svuAAAAhQEAABMAAAAAAAAAAAAA&#10;AAAAAAAAAFtDb250ZW50X1R5cGVzXS54bWxQSwECLQAUAAYACAAAACEAWvQsW78AAAAVAQAACwAA&#10;AAAAAAAAAAAAAAAfAQAAX3JlbHMvLnJlbHNQSwECLQAUAAYACAAAACEAk5a3/MMAAADbAAAADwAA&#10;AAAAAAAAAAAAAAAHAgAAZHJzL2Rvd25yZXYueG1sUEsFBgAAAAADAAMAtwAAAPcCAAAAAA==&#10;" adj="9000" strokecolor="#066">
                  <v:stroke startarrowwidth="narrow" startarrowlength="short" endarrow="block"/>
                </v:shape>
                <v:rect id="Rectángulo 26" o:spid="_x0000_s1036" style="position:absolute;left:25532;top:8840;width:16020;height:8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9yxAAAANsAAAAPAAAAZHJzL2Rvd25yZXYueG1sRI9BawIx&#10;FITvgv8hPKEX0awiVlajiCAuFArVevD2SJ6bxc3Lsom6/vumUOhxmJlvmNWmc7V4UBsqzwom4wwE&#10;sfam4lLB92k/WoAIEdlg7ZkUvCjAZt3vrTA3/slf9DjGUiQIhxwV2BibXMqgLTkMY98QJ+/qW4cx&#10;ybaUpsVngrtaTrNsLh1WnBYsNrSzpG/Hu1Ow3c3K5qWL4v2czT6G9sKTT31Q6m3QbZcgInXxP/zX&#10;LoyC6Rx+v6QfINc/AAAA//8DAFBLAQItABQABgAIAAAAIQDb4fbL7gAAAIUBAAATAAAAAAAAAAAA&#10;AAAAAAAAAABbQ29udGVudF9UeXBlc10ueG1sUEsBAi0AFAAGAAgAAAAhAFr0LFu/AAAAFQEAAAsA&#10;AAAAAAAAAAAAAAAAHwEAAF9yZWxzLy5yZWxzUEsBAi0AFAAGAAgAAAAhAHH5H3LEAAAA2wAAAA8A&#10;AAAAAAAAAAAAAAAABwIAAGRycy9kb3ducmV2LnhtbFBLBQYAAAAAAwADALcAAAD4AgAAAAA=&#10;" fillcolor="window" strokecolor="windowText" strokeweight="1pt">
                  <v:stroke startarrowwidth="narrow" startarrowlength="short" endarrowwidth="narrow" endarrowlength="short"/>
                  <v:textbox inset="2.53958mm,1.2694mm,2.53958mm,1.2694mm">
                    <w:txbxContent>
                      <w:p w14:paraId="3AF3A521" w14:textId="77777777" w:rsidR="00C42E70" w:rsidRPr="00D70EF5" w:rsidRDefault="00C42E70" w:rsidP="00D70EF5">
                        <w:pPr>
                          <w:spacing w:after="0" w:line="240" w:lineRule="auto"/>
                          <w:jc w:val="center"/>
                          <w:textDirection w:val="btLr"/>
                          <w:rPr>
                            <w:rFonts w:ascii="Arial" w:hAnsi="Arial" w:cs="Arial"/>
                            <w:sz w:val="18"/>
                            <w:szCs w:val="18"/>
                          </w:rPr>
                        </w:pPr>
                        <w:r w:rsidRPr="00D70EF5">
                          <w:rPr>
                            <w:rFonts w:ascii="Arial" w:eastAsia="Times New Roman" w:hAnsi="Arial" w:cs="Arial"/>
                            <w:color w:val="000000"/>
                            <w:sz w:val="18"/>
                            <w:szCs w:val="18"/>
                          </w:rPr>
                          <w:t xml:space="preserve">Excluidos por duplicidad, idioma, tema y palabras clave (n = 1035) </w:t>
                        </w:r>
                      </w:p>
                    </w:txbxContent>
                  </v:textbox>
                </v:rect>
                <v:rect id="Rectángulo 30" o:spid="_x0000_s1037" style="position:absolute;left:16706;top:14;width:10649;height:5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lWFvAAAANsAAAAPAAAAZHJzL2Rvd25yZXYueG1sRE/NisIw&#10;EL4v7DuEWfC2pqsgUo2iiy5etX2AIRnbYmdSm6jdtzcHwePH979cD9yqO/Wh8WLgZ5yBIrHeNVIZ&#10;KIv99xxUiCgOWy9k4J8CrFefH0vMnX/Ike6nWKkUIiFHA3WMXa51sDUxhrHvSBJ39j1jTLCvtOvx&#10;kcK51ZMsm2nGRlJDjR391mQvpxsbuPDV0/GvIqbrtigs72wzlMaMvobNAlSkIb7FL/fBGZim9elL&#10;+gF69QQAAP//AwBQSwECLQAUAAYACAAAACEA2+H2y+4AAACFAQAAEwAAAAAAAAAAAAAAAAAAAAAA&#10;W0NvbnRlbnRfVHlwZXNdLnhtbFBLAQItABQABgAIAAAAIQBa9CxbvwAAABUBAAALAAAAAAAAAAAA&#10;AAAAAB8BAABfcmVscy8ucmVsc1BLAQItABQABgAIAAAAIQBivlWFvAAAANsAAAAPAAAAAAAAAAAA&#10;AAAAAAcCAABkcnMvZG93bnJldi54bWxQSwUGAAAAAAMAAwC3AAAA8AIAAAAA&#10;" fillcolor="#f2f2f2 [3052]" strokecolor="windowText" strokeweight="1pt">
                  <v:stroke startarrowwidth="narrow" startarrowlength="short" endarrowwidth="narrow" endarrowlength="short"/>
                  <v:textbox inset="2.53958mm,1.2694mm,2.53958mm,1.2694mm">
                    <w:txbxContent>
                      <w:p w14:paraId="3012A7C6" w14:textId="77777777" w:rsidR="00C42E70" w:rsidRPr="00D70EF5" w:rsidRDefault="00C42E70" w:rsidP="00D70EF5">
                        <w:pPr>
                          <w:spacing w:after="0" w:line="240" w:lineRule="auto"/>
                          <w:jc w:val="center"/>
                          <w:textDirection w:val="btLr"/>
                          <w:rPr>
                            <w:rFonts w:ascii="Arial" w:hAnsi="Arial" w:cs="Arial"/>
                            <w:sz w:val="18"/>
                            <w:szCs w:val="18"/>
                          </w:rPr>
                        </w:pPr>
                        <w:r w:rsidRPr="00D70EF5">
                          <w:rPr>
                            <w:rFonts w:ascii="Arial" w:eastAsia="Times New Roman" w:hAnsi="Arial" w:cs="Arial"/>
                            <w:color w:val="000000"/>
                            <w:sz w:val="18"/>
                            <w:szCs w:val="18"/>
                          </w:rPr>
                          <w:t>Scopus = 834</w:t>
                        </w:r>
                      </w:p>
                    </w:txbxContent>
                  </v:textbox>
                </v:rect>
                <v:rect id="Rectángulo 24" o:spid="_x0000_s1038" style="position:absolute;left:-3107;top:40464;width:9049;height:280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ZadxQAAANsAAAAPAAAAZHJzL2Rvd25yZXYueG1sRI/dasJA&#10;FITvC77DcoTe6UYpUqKr+EOglGJb9QEO2WM2MXs2zW40ffuuIPRymJlvmMWqt7W4UutLxwom4wQE&#10;ce50yYWC0zEbvYLwAVlj7ZgU/JKH1XLwtMBUuxt/0/UQChEh7FNUYEJoUil9bsiiH7uGOHpn11oM&#10;UbaF1C3eItzWcpokM2mx5LhgsKGtofxy6KyC3Gx21Ve1s9XP7PP9oyv3WXbqlHoe9us5iEB9+A8/&#10;2m9awfQF7l/iD5DLPwAAAP//AwBQSwECLQAUAAYACAAAACEA2+H2y+4AAACFAQAAEwAAAAAAAAAA&#10;AAAAAAAAAAAAW0NvbnRlbnRfVHlwZXNdLnhtbFBLAQItABQABgAIAAAAIQBa9CxbvwAAABUBAAAL&#10;AAAAAAAAAAAAAAAAAB8BAABfcmVscy8ucmVsc1BLAQItABQABgAIAAAAIQAt4ZadxQAAANsAAAAP&#10;AAAAAAAAAAAAAAAAAAcCAABkcnMvZG93bnJldi54bWxQSwUGAAAAAAMAAwC3AAAA+QIAAAAA&#10;" fillcolor="#f2f2f2 [3052]" strokecolor="windowText" strokeweight="1pt">
                  <v:stroke startarrowwidth="narrow" startarrowlength="short" endarrowwidth="narrow" endarrowlength="short"/>
                  <v:textbox inset="2.53958mm,1.2694mm,2.53958mm,1.2694mm">
                    <w:txbxContent>
                      <w:p w14:paraId="72A8C286" w14:textId="77777777" w:rsidR="00C42E70" w:rsidRPr="00D70EF5" w:rsidRDefault="00C42E70" w:rsidP="00D70EF5">
                        <w:pPr>
                          <w:spacing w:after="0" w:line="240" w:lineRule="auto"/>
                          <w:jc w:val="center"/>
                          <w:textDirection w:val="btLr"/>
                          <w:rPr>
                            <w:rFonts w:ascii="Arial" w:hAnsi="Arial" w:cs="Arial"/>
                            <w:sz w:val="18"/>
                            <w:szCs w:val="18"/>
                          </w:rPr>
                        </w:pPr>
                        <w:r w:rsidRPr="00D70EF5">
                          <w:rPr>
                            <w:rFonts w:ascii="Arial" w:eastAsia="Times New Roman" w:hAnsi="Arial" w:cs="Arial"/>
                            <w:color w:val="000000"/>
                            <w:sz w:val="18"/>
                            <w:szCs w:val="18"/>
                          </w:rPr>
                          <w:t>INCLUSIÓN</w:t>
                        </w:r>
                      </w:p>
                    </w:txbxContent>
                  </v:textbox>
                </v:rect>
                <v:rect id="Rectángulo 13" o:spid="_x0000_s1039" style="position:absolute;left:9721;top:39828;width:12477;height:65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ZeSvgAAANsAAAAPAAAAZHJzL2Rvd25yZXYueG1sRE/NasMw&#10;DL4P+g5Ghd1WZyuMkdYtW1nLrmn6AMLWktBITmI3Sd9+Hgx208f3q+1+5laNNITGi4HnVQaKxHrX&#10;SGXgUh6f3kCFiOKw9UIG7hRgv1s8bDF3fpKCxnOsVAqRkKOBOsYu1zrYmhjDynckifv2A2NMcKi0&#10;G3BK4dzqlyx71YyNpIYaOzrUZK/nGxu4cu+pOFXE1H+UpeVP28wXYx6X8/sGVKQ5/ov/3F8uzV/D&#10;7y/pAL37AQAA//8DAFBLAQItABQABgAIAAAAIQDb4fbL7gAAAIUBAAATAAAAAAAAAAAAAAAAAAAA&#10;AABbQ29udGVudF9UeXBlc10ueG1sUEsBAi0AFAAGAAgAAAAhAFr0LFu/AAAAFQEAAAsAAAAAAAAA&#10;AAAAAAAAHwEAAF9yZWxzLy5yZWxzUEsBAi0AFAAGAAgAAAAhANnZl5K+AAAA2wAAAA8AAAAAAAAA&#10;AAAAAAAABwIAAGRycy9kb3ducmV2LnhtbFBLBQYAAAAAAwADALcAAADyAgAAAAA=&#10;" fillcolor="#f2f2f2 [3052]" strokecolor="windowText" strokeweight="1pt">
                  <v:stroke startarrowwidth="narrow" startarrowlength="short" endarrowwidth="narrow" endarrowlength="short"/>
                  <v:textbox inset="2.53958mm,1.2694mm,2.53958mm,1.2694mm">
                    <w:txbxContent>
                      <w:p w14:paraId="0D86E092" w14:textId="77777777" w:rsidR="00C42E70" w:rsidRPr="00D70EF5" w:rsidRDefault="00C42E70" w:rsidP="00D70EF5">
                        <w:pPr>
                          <w:spacing w:after="0" w:line="240" w:lineRule="auto"/>
                          <w:jc w:val="center"/>
                          <w:textDirection w:val="btLr"/>
                          <w:rPr>
                            <w:rFonts w:ascii="Arial" w:hAnsi="Arial" w:cs="Arial"/>
                            <w:sz w:val="18"/>
                            <w:szCs w:val="18"/>
                          </w:rPr>
                        </w:pPr>
                        <w:r w:rsidRPr="00D70EF5">
                          <w:rPr>
                            <w:rFonts w:ascii="Arial" w:eastAsia="Times New Roman" w:hAnsi="Arial" w:cs="Arial"/>
                            <w:color w:val="000000"/>
                            <w:sz w:val="18"/>
                            <w:szCs w:val="18"/>
                          </w:rPr>
                          <w:t xml:space="preserve">Artículos seleccionados para el análisis </w:t>
                        </w:r>
                        <w:r w:rsidRPr="00605538">
                          <w:rPr>
                            <w:rFonts w:ascii="Arial" w:eastAsia="Times New Roman" w:hAnsi="Arial" w:cs="Arial"/>
                            <w:b/>
                            <w:color w:val="000000"/>
                            <w:sz w:val="18"/>
                            <w:szCs w:val="18"/>
                          </w:rPr>
                          <w:t>(n = 19)</w:t>
                        </w:r>
                      </w:p>
                    </w:txbxContent>
                  </v:textbox>
                </v:rect>
                <v:rect id="Rectángulo 12" o:spid="_x0000_s1040" style="position:absolute;left:9276;top:29224;width:13332;height:75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tPMwgAAANsAAAAPAAAAZHJzL2Rvd25yZXYueG1sRE/fa8Iw&#10;EH4f+D+EE3wZM1VkG51pEUEsCMKcPuztSG5NWXMpTdT63xthsLf7+H7eshxcKy7Uh8azgtk0A0Gs&#10;vWm4VnD82ry8gwgR2WDrmRTcKEBZjJ6WmBt/5U+6HGItUgiHHBXYGLtcyqAtOQxT3xEn7sf3DmOC&#10;fS1Nj9cU7lo5z7JX6bDh1GCxo7Ul/Xs4OwWr9aLubrqq3k7ZYvdsv3m211ulJuNh9QEi0hD/xX/u&#10;yqT5c3j8kg6QxR0AAP//AwBQSwECLQAUAAYACAAAACEA2+H2y+4AAACFAQAAEwAAAAAAAAAAAAAA&#10;AAAAAAAAW0NvbnRlbnRfVHlwZXNdLnhtbFBLAQItABQABgAIAAAAIQBa9CxbvwAAABUBAAALAAAA&#10;AAAAAAAAAAAAAB8BAABfcmVscy8ucmVsc1BLAQItABQABgAIAAAAIQDArtPMwgAAANsAAAAPAAAA&#10;AAAAAAAAAAAAAAcCAABkcnMvZG93bnJldi54bWxQSwUGAAAAAAMAAwC3AAAA9gIAAAAA&#10;" fillcolor="window" strokecolor="windowText" strokeweight="1pt">
                  <v:stroke startarrowwidth="narrow" startarrowlength="short" endarrowwidth="narrow" endarrowlength="short"/>
                  <v:textbox inset="2.53958mm,1.2694mm,2.53958mm,1.2694mm">
                    <w:txbxContent>
                      <w:p w14:paraId="2BFC6A4D" w14:textId="77777777" w:rsidR="00C42E70" w:rsidRPr="00D70EF5" w:rsidRDefault="00C42E70" w:rsidP="00D70EF5">
                        <w:pPr>
                          <w:spacing w:after="0" w:line="240" w:lineRule="auto"/>
                          <w:jc w:val="center"/>
                          <w:textDirection w:val="btLr"/>
                          <w:rPr>
                            <w:rFonts w:ascii="Arial" w:hAnsi="Arial" w:cs="Arial"/>
                            <w:sz w:val="18"/>
                            <w:szCs w:val="18"/>
                          </w:rPr>
                        </w:pPr>
                        <w:r w:rsidRPr="00D70EF5">
                          <w:rPr>
                            <w:rFonts w:ascii="Arial" w:eastAsia="Times New Roman" w:hAnsi="Arial" w:cs="Arial"/>
                            <w:color w:val="000000"/>
                            <w:sz w:val="18"/>
                            <w:szCs w:val="18"/>
                          </w:rPr>
                          <w:t xml:space="preserve">Artículos seleccionados para lectura completa </w:t>
                        </w:r>
                        <w:r w:rsidRPr="00D70EF5">
                          <w:rPr>
                            <w:rFonts w:ascii="Arial" w:eastAsia="Times New Roman" w:hAnsi="Arial" w:cs="Arial"/>
                            <w:color w:val="000000"/>
                            <w:sz w:val="18"/>
                            <w:szCs w:val="18"/>
                          </w:rPr>
                          <w:br/>
                          <w:t xml:space="preserve">(n = 137) </w:t>
                        </w:r>
                      </w:p>
                    </w:txbxContent>
                  </v:textbox>
                </v:rect>
                <v:shape id="Conector recto de flecha 20" o:spid="_x0000_s1041" type="#_x0000_t32" style="position:absolute;left:22611;top:32970;width:3059;height:75;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yDvvwAAANsAAAAPAAAAZHJzL2Rvd25yZXYueG1sRE9Ni8Iw&#10;EL0L/ocwwt5sWg9ausayLAjeSqsXb0Mz21abSUmyWv/95rDg8fG+9+VsRvEg5wfLCrIkBUHcWj1w&#10;p+ByPq5zED4gaxwtk4IXeSgPy8UeC22fXNOjCZ2IIewLVNCHMBVS+rYngz6xE3HkfqwzGCJ0ndQO&#10;nzHcjHKTpltpcODY0ONE3z219+bXKNjh1R2rps5v+faE1avKrrUflfpYzV+fIALN4S3+d5+0gk1c&#10;H7/EHyAPfwAAAP//AwBQSwECLQAUAAYACAAAACEA2+H2y+4AAACFAQAAEwAAAAAAAAAAAAAAAAAA&#10;AAAAW0NvbnRlbnRfVHlwZXNdLnhtbFBLAQItABQABgAIAAAAIQBa9CxbvwAAABUBAAALAAAAAAAA&#10;AAAAAAAAAB8BAABfcmVscy8ucmVsc1BLAQItABQABgAIAAAAIQCeryDvvwAAANsAAAAPAAAAAAAA&#10;AAAAAAAAAAcCAABkcnMvZG93bnJldi54bWxQSwUGAAAAAAMAAwC3AAAA8wIAAAAA&#10;" strokecolor="#066">
                  <v:stroke startarrowwidth="narrow" startarrowlength="short" endarrow="block" joinstyle="miter"/>
                </v:shape>
                <v:rect id="Rectángulo 16" o:spid="_x0000_s1042" style="position:absolute;left:25659;top:28335;width:16020;height:9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XPwgAAANsAAAAPAAAAZHJzL2Rvd25yZXYueG1sRE/fa8Iw&#10;EH4f+D+EE3wZmjrESWdaRJAVhMGcPuztSG5NWXMpTdT63xthsLf7+H7euhxcKy7Uh8azgvksA0Gs&#10;vWm4VnD82k1XIEJENth6JgU3ClAWo6c15sZf+ZMuh1iLFMIhRwU2xi6XMmhLDsPMd8SJ+/G9w5hg&#10;X0vT4zWFu1a+ZNlSOmw4NVjsaGtJ/x7OTsFmu6i7m66q11O22D/bb55/6HelJuNh8wYi0hD/xX/u&#10;yqT5S3j8kg6QxR0AAP//AwBQSwECLQAUAAYACAAAACEA2+H2y+4AAACFAQAAEwAAAAAAAAAAAAAA&#10;AAAAAAAAW0NvbnRlbnRfVHlwZXNdLnhtbFBLAQItABQABgAIAAAAIQBa9CxbvwAAABUBAAALAAAA&#10;AAAAAAAAAAAAAB8BAABfcmVscy8ucmVsc1BLAQItABQABgAIAAAAIQC/ldXPwgAAANsAAAAPAAAA&#10;AAAAAAAAAAAAAAcCAABkcnMvZG93bnJldi54bWxQSwUGAAAAAAMAAwC3AAAA9gIAAAAA&#10;" fillcolor="window" strokecolor="windowText" strokeweight="1pt">
                  <v:stroke startarrowwidth="narrow" startarrowlength="short" endarrowwidth="narrow" endarrowlength="short"/>
                  <v:textbox inset="2.53958mm,1.2694mm,2.53958mm,1.2694mm">
                    <w:txbxContent>
                      <w:p w14:paraId="6B5898D6" w14:textId="77777777" w:rsidR="00C42E70" w:rsidRPr="00D70EF5" w:rsidRDefault="00C42E70" w:rsidP="00D70EF5">
                        <w:pPr>
                          <w:spacing w:after="0" w:line="240" w:lineRule="auto"/>
                          <w:jc w:val="center"/>
                          <w:textDirection w:val="btLr"/>
                          <w:rPr>
                            <w:rFonts w:ascii="Arial" w:hAnsi="Arial" w:cs="Arial"/>
                            <w:sz w:val="18"/>
                            <w:szCs w:val="18"/>
                          </w:rPr>
                        </w:pPr>
                        <w:r w:rsidRPr="00D70EF5">
                          <w:rPr>
                            <w:rFonts w:ascii="Arial" w:eastAsia="Times New Roman" w:hAnsi="Arial" w:cs="Arial"/>
                            <w:color w:val="000000"/>
                            <w:sz w:val="18"/>
                            <w:szCs w:val="18"/>
                          </w:rPr>
                          <w:t>Excluidos por suministrar información no relacionada con los modelos de gobernanza en la gestión pública (n = 118)</w:t>
                        </w:r>
                      </w:p>
                    </w:txbxContent>
                  </v:textbox>
                </v:rect>
                <v:shape id="Conector recto de flecha 28" o:spid="_x0000_s1043" type="#_x0000_t32" style="position:absolute;left:15944;top:15825;width:0;height:40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X6wAAAANsAAAAPAAAAZHJzL2Rvd25yZXYueG1sRE9Na8JA&#10;EL0X/A/LCL3VTZUWSV2liILxUhL1PmSnSTA7G7Orpv76zqHQ4+N9L1aDa9WN+tB4NvA6SUARl942&#10;XBk4HrYvc1AhIltsPZOBHwqwWo6eFphaf+ecbkWslIRwSNFAHWOXah3KmhyGie+Ihfv2vcMosK+0&#10;7fEu4a7V0yR51w4bloYaO1rXVJ6Lq5OS7XF2dsX+kj++Bsrc6S3PNpkxz+Ph8wNUpCH+i//cO2tg&#10;KmPli/wAvfwFAAD//wMAUEsBAi0AFAAGAAgAAAAhANvh9svuAAAAhQEAABMAAAAAAAAAAAAAAAAA&#10;AAAAAFtDb250ZW50X1R5cGVzXS54bWxQSwECLQAUAAYACAAAACEAWvQsW78AAAAVAQAACwAAAAAA&#10;AAAAAAAAAAAfAQAAX3JlbHMvLnJlbHNQSwECLQAUAAYACAAAACEAmjEF+sAAAADbAAAADwAAAAAA&#10;AAAAAAAAAAAHAgAAZHJzL2Rvd25yZXYueG1sUEsFBgAAAAADAAMAtwAAAPQCAAAAAA==&#10;" strokecolor="#066">
                  <v:stroke startarrowwidth="narrow" startarrowlength="short" endarrow="block" joinstyle="miter"/>
                </v:shape>
                <v:shape id="Conector recto de flecha 29" o:spid="_x0000_s1044" type="#_x0000_t32" style="position:absolute;left:21405;top:12968;width:4079;height:11;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YlywQAAANsAAAAPAAAAZHJzL2Rvd25yZXYueG1sRI9Bi8Iw&#10;FITvC/6H8ARva6oHrdUosiB4K61evD2aZ1ttXkqS1frvzcKCx2FmvmE2u8F04kHOt5YVzKYJCOLK&#10;6pZrBefT4TsF4QOyxs4yKXiRh9129LXBTNsnF/QoQy0ihH2GCpoQ+kxKXzVk0E9tTxy9q3UGQ5Su&#10;ltrhM8JNJ+dJspAGW44LDfb001B1L3+NgiVe3CEvi/SWLo6Yv/LZpfCdUpPxsF+DCDSET/i/fdQK&#10;5iv4+xJ/gNy+AQAA//8DAFBLAQItABQABgAIAAAAIQDb4fbL7gAAAIUBAAATAAAAAAAAAAAAAAAA&#10;AAAAAABbQ29udGVudF9UeXBlc10ueG1sUEsBAi0AFAAGAAgAAAAhAFr0LFu/AAAAFQEAAAsAAAAA&#10;AAAAAAAAAAAAHwEAAF9yZWxzLy5yZWxzUEsBAi0AFAAGAAgAAAAhAA+ViXLBAAAA2wAAAA8AAAAA&#10;AAAAAAAAAAAABwIAAGRycy9kb3ducmV2LnhtbFBLBQYAAAAAAwADALcAAAD1AgAAAAA=&#10;" strokecolor="#066">
                  <v:stroke startarrowwidth="narrow" startarrowlength="short" endarrow="block" joinstyle="miter"/>
                </v:shape>
                <v:shape id="Conector angular 31" o:spid="_x0000_s1045" type="#_x0000_t34" style="position:absolute;left:16641;top:4840;width:4695;height:599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OTewgAAANsAAAAPAAAAZHJzL2Rvd25yZXYueG1sRI9Bi8Iw&#10;FITvwv6H8AQvsqYquLvVKCIs6NHWg8dH82xLm5eSpFr/vREW9jjMzDfMZjeYVtzJ+dqygvksAUFc&#10;WF1zqeCS/35+g/ABWWNrmRQ8ycNu+zHaYKrtg890z0IpIoR9igqqELpUSl9UZNDPbEccvZt1BkOU&#10;rpTa4SPCTSsXSbKSBmuOCxV2dKioaLLeKLjtc3+teycXX/p0PTZ59lNMD0pNxsN+DSLQEP7Df+2j&#10;VrCcw/tL/AFy+wIAAP//AwBQSwECLQAUAAYACAAAACEA2+H2y+4AAACFAQAAEwAAAAAAAAAAAAAA&#10;AAAAAAAAW0NvbnRlbnRfVHlwZXNdLnhtbFBLAQItABQABgAIAAAAIQBa9CxbvwAAABUBAAALAAAA&#10;AAAAAAAAAAAAAB8BAABfcmVscy8ucmVsc1BLAQItABQABgAIAAAAIQBWxOTewgAAANsAAAAPAAAA&#10;AAAAAAAAAAAAAAcCAABkcnMvZG93bnJldi54bWxQSwUGAAAAAAMAAwC3AAAA9gIAAAAA&#10;" adj="8983" strokecolor="#066">
                  <v:stroke startarrowwidth="narrow" startarrowlength="short" endarrow="block"/>
                </v:shape>
                <v:shape id="Conector recto de flecha 32" o:spid="_x0000_s1046" type="#_x0000_t32" style="position:absolute;left:15944;top:36907;width:7;height:29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GKaxAAAANsAAAAPAAAAZHJzL2Rvd25yZXYueG1sRI9Ba4NA&#10;FITvhfyH5QV6KclqAqG1WUVSCs2loGkhx4f7qhL3rbgbNf8+Wyj0OMzMN8w+m00nRhpca1lBvI5A&#10;EFdWt1wr+Dq9r55BOI+ssbNMCm7kIEsXD3tMtJ24oLH0tQgQdgkqaLzvEyld1ZBBt7Y9cfB+7GDQ&#10;BznUUg84Bbjp5CaKdtJgy2GhwZ4ODVWX8moU7J5meR7L41sRv7TVd0nX3NCnUo/LOX8F4Wn2/+G/&#10;9odWsN3A75fwA2R6BwAA//8DAFBLAQItABQABgAIAAAAIQDb4fbL7gAAAIUBAAATAAAAAAAAAAAA&#10;AAAAAAAAAABbQ29udGVudF9UeXBlc10ueG1sUEsBAi0AFAAGAAgAAAAhAFr0LFu/AAAAFQEAAAsA&#10;AAAAAAAAAAAAAAAAHwEAAF9yZWxzLy5yZWxzUEsBAi0AFAAGAAgAAAAhADKAYprEAAAA2wAAAA8A&#10;AAAAAAAAAAAAAAAABwIAAGRycy9kb3ducmV2LnhtbFBLBQYAAAAAAwADALcAAAD4AgAAAAA=&#10;" strokecolor="#066">
                  <v:stroke startarrowwidth="narrow" startarrowlength="short" endarrow="block" joinstyle="miter"/>
                </v:shape>
                <w10:wrap anchorx="margin"/>
              </v:group>
            </w:pict>
          </mc:Fallback>
        </mc:AlternateContent>
      </w:r>
    </w:p>
    <w:p w14:paraId="13FEAB7B" w14:textId="6F9FA281" w:rsidR="00D70EF5" w:rsidRPr="00D70EF5" w:rsidRDefault="00605538" w:rsidP="00D70EF5">
      <w:pPr>
        <w:spacing w:after="0" w:line="240" w:lineRule="auto"/>
        <w:jc w:val="both"/>
        <w:rPr>
          <w:rFonts w:ascii="Arial" w:hAnsi="Arial" w:cs="Arial"/>
          <w:bCs/>
          <w:i/>
          <w:color w:val="000000" w:themeColor="text1"/>
          <w:sz w:val="20"/>
          <w:lang w:val="es"/>
        </w:rPr>
      </w:pPr>
      <w:r>
        <w:rPr>
          <w:rFonts w:ascii="Arial" w:hAnsi="Arial" w:cs="Arial"/>
          <w:bCs/>
          <w:i/>
          <w:noProof/>
          <w:color w:val="000000" w:themeColor="text1"/>
          <w:sz w:val="20"/>
          <w:lang w:val="en-US"/>
        </w:rPr>
        <mc:AlternateContent>
          <mc:Choice Requires="wps">
            <w:drawing>
              <wp:anchor distT="0" distB="0" distL="114300" distR="114300" simplePos="0" relativeHeight="251637760" behindDoc="1" locked="0" layoutInCell="1" allowOverlap="1" wp14:anchorId="5A2A2C24" wp14:editId="047E1376">
                <wp:simplePos x="0" y="0"/>
                <wp:positionH relativeFrom="column">
                  <wp:posOffset>1076962</wp:posOffset>
                </wp:positionH>
                <wp:positionV relativeFrom="paragraph">
                  <wp:posOffset>34659</wp:posOffset>
                </wp:positionV>
                <wp:extent cx="4169644" cy="4491200"/>
                <wp:effectExtent l="0" t="0" r="0" b="0"/>
                <wp:wrapNone/>
                <wp:docPr id="6" name="Rectángulo 6"/>
                <wp:cNvGraphicFramePr/>
                <a:graphic xmlns:a="http://schemas.openxmlformats.org/drawingml/2006/main">
                  <a:graphicData uri="http://schemas.microsoft.com/office/word/2010/wordprocessingShape">
                    <wps:wsp>
                      <wps:cNvSpPr/>
                      <wps:spPr>
                        <a:xfrm>
                          <a:off x="0" y="0"/>
                          <a:ext cx="4169644" cy="4491200"/>
                        </a:xfrm>
                        <a:prstGeom prst="rect">
                          <a:avLst/>
                        </a:prstGeom>
                        <a:noFill/>
                        <a:ln>
                          <a:noFill/>
                        </a:ln>
                      </wps:spPr>
                      <wps:txbx>
                        <w:txbxContent>
                          <w:p w14:paraId="13F178D0" w14:textId="77777777" w:rsidR="00C42E70" w:rsidRPr="00D70EF5" w:rsidRDefault="00C42E70" w:rsidP="00D70EF5">
                            <w:pPr>
                              <w:spacing w:after="0" w:line="240" w:lineRule="auto"/>
                              <w:textDirection w:val="btLr"/>
                              <w:rPr>
                                <w:rFonts w:ascii="Arial" w:hAnsi="Arial" w:cs="Arial"/>
                                <w:sz w:val="18"/>
                                <w:szCs w:val="18"/>
                              </w:rPr>
                            </w:pPr>
                          </w:p>
                        </w:txbxContent>
                      </wps:txbx>
                      <wps:bodyPr spcFirstLastPara="1" wrap="square" lIns="91425" tIns="91425" rIns="91425" bIns="91425" anchor="ctr" anchorCtr="0">
                        <a:noAutofit/>
                      </wps:bodyPr>
                    </wps:wsp>
                  </a:graphicData>
                </a:graphic>
              </wp:anchor>
            </w:drawing>
          </mc:Choice>
          <mc:Fallback>
            <w:pict>
              <v:rect w14:anchorId="5A2A2C24" id="Rectángulo 6" o:spid="_x0000_s1047" style="position:absolute;left:0;text-align:left;margin-left:84.8pt;margin-top:2.75pt;width:328.3pt;height:353.65pt;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cRdzAEAAIEDAAAOAAAAZHJzL2Uyb0RvYy54bWysU9uO0zAQfUfaf7D8vk3TDRGNmq4QqyKk&#10;FVQsfIDr2I0l33bsNunn8C38GGOn2y3whnhxPOPJ8Tlnxqv70WhyFBCUsy0tZ3NKhOWuU3bf0u/f&#10;NrfvKAmR2Y5pZ0VLTyLQ+/XNm9XgG7FwvdOdAIIgNjSDb2kfo2+KIvBeGBZmzguLh9KBYRFD2Bcd&#10;sAHRjS4W83ldDA46D46LEDD7MB3SdcaXUvD4RcogItEtRW4xr5DXXVqL9Yo1e2C+V/xMg/0DC8OU&#10;xUsvUA8sMnIA9ReUURxccDLOuDOFk1JxkTWgmnL+h5qnnnmRtaA5wV9sCv8Pln8+boGorqU1JZYZ&#10;bNFXNO3nD7s/aEfqZNDgQ4N1T34L5yjgNqkdJZj0RR1kzKaeLqaKMRKOyaqsl3VVUcLxrKqWJbYt&#10;oRavv3sI8aNwhqRNSwEJZDPZ8THEqfSlJN1m3UZpjXnWaPtbAjFTpkiMJ45pF8fdmCWWdy9ydq47&#10;oe7g+UbhnY8sxC0D7HxJyYDT0NLwfGAgKNGfLNq9LKvFWxyf6wCug911wCzvHQ4Zj0DJFHyIeegm&#10;tu8P0UmVlSV+E5kzbexz9uY8k2mQruNc9fpy1r8AAAD//wMAUEsDBBQABgAIAAAAIQAUPGU53AAA&#10;AAkBAAAPAAAAZHJzL2Rvd25yZXYueG1sTI/BTsMwEETvSPyDtUjcqFOLhjTEqQDBAU6Q8gFOvMQR&#10;8TrEbhv+nuUEx9GMZt5Uu8WP4ohzHAJpWK8yEEhdsAP1Gt73T1cFiJgMWTMGQg3fGGFXn59VprTh&#10;RG94bFIvuIRiaTS4lKZSytg59CauwoTE3keYvUks517a2Zy43I9SZVkuvRmIF5yZ8MFh99kcvIbX&#10;64DqUcX7pvdbt7T7l+cvk2t9ebHc3YJIuKS/MPziMzrUzNSGA9koRtb5Nueohs0GBPuFyhWIVsPN&#10;WhUg60r+f1D/AAAA//8DAFBLAQItABQABgAIAAAAIQC2gziS/gAAAOEBAAATAAAAAAAAAAAAAAAA&#10;AAAAAABbQ29udGVudF9UeXBlc10ueG1sUEsBAi0AFAAGAAgAAAAhADj9If/WAAAAlAEAAAsAAAAA&#10;AAAAAAAAAAAALwEAAF9yZWxzLy5yZWxzUEsBAi0AFAAGAAgAAAAhANqpxF3MAQAAgQMAAA4AAAAA&#10;AAAAAAAAAAAALgIAAGRycy9lMm9Eb2MueG1sUEsBAi0AFAAGAAgAAAAhABQ8ZTncAAAACQEAAA8A&#10;AAAAAAAAAAAAAAAAJgQAAGRycy9kb3ducmV2LnhtbFBLBQYAAAAABAAEAPMAAAAvBQAAAAA=&#10;" filled="f" stroked="f">
                <v:textbox inset="2.53958mm,2.53958mm,2.53958mm,2.53958mm">
                  <w:txbxContent>
                    <w:p w14:paraId="13F178D0" w14:textId="77777777" w:rsidR="00C42E70" w:rsidRPr="00D70EF5" w:rsidRDefault="00C42E70" w:rsidP="00D70EF5">
                      <w:pPr>
                        <w:spacing w:after="0" w:line="240" w:lineRule="auto"/>
                        <w:textDirection w:val="btLr"/>
                        <w:rPr>
                          <w:rFonts w:ascii="Arial" w:hAnsi="Arial" w:cs="Arial"/>
                          <w:sz w:val="18"/>
                          <w:szCs w:val="18"/>
                        </w:rPr>
                      </w:pPr>
                    </w:p>
                  </w:txbxContent>
                </v:textbox>
              </v:rect>
            </w:pict>
          </mc:Fallback>
        </mc:AlternateContent>
      </w:r>
      <w:r>
        <w:rPr>
          <w:rFonts w:ascii="Arial" w:hAnsi="Arial" w:cs="Arial"/>
          <w:bCs/>
          <w:i/>
          <w:noProof/>
          <w:color w:val="000000" w:themeColor="text1"/>
          <w:sz w:val="20"/>
          <w:lang w:val="en-US"/>
        </w:rPr>
        <mc:AlternateContent>
          <mc:Choice Requires="wps">
            <w:drawing>
              <wp:anchor distT="0" distB="0" distL="114300" distR="114300" simplePos="0" relativeHeight="251638784" behindDoc="1" locked="0" layoutInCell="1" allowOverlap="1" wp14:anchorId="53620BB6" wp14:editId="73BD58C6">
                <wp:simplePos x="0" y="0"/>
                <wp:positionH relativeFrom="column">
                  <wp:posOffset>1070610</wp:posOffset>
                </wp:positionH>
                <wp:positionV relativeFrom="paragraph">
                  <wp:posOffset>96216</wp:posOffset>
                </wp:positionV>
                <wp:extent cx="4182354" cy="4502671"/>
                <wp:effectExtent l="0" t="0" r="0" b="0"/>
                <wp:wrapNone/>
                <wp:docPr id="4" name="Rectángulo 4"/>
                <wp:cNvGraphicFramePr/>
                <a:graphic xmlns:a="http://schemas.openxmlformats.org/drawingml/2006/main">
                  <a:graphicData uri="http://schemas.microsoft.com/office/word/2010/wordprocessingShape">
                    <wps:wsp>
                      <wps:cNvSpPr/>
                      <wps:spPr>
                        <a:xfrm>
                          <a:off x="0" y="0"/>
                          <a:ext cx="4182354" cy="4502671"/>
                        </a:xfrm>
                        <a:prstGeom prst="rect">
                          <a:avLst/>
                        </a:prstGeom>
                        <a:noFill/>
                        <a:ln>
                          <a:noFill/>
                        </a:ln>
                      </wps:spPr>
                      <wps:txbx>
                        <w:txbxContent>
                          <w:p w14:paraId="29F0BF8E" w14:textId="77777777" w:rsidR="00C42E70" w:rsidRPr="00D70EF5" w:rsidRDefault="00C42E70" w:rsidP="00D70EF5">
                            <w:pPr>
                              <w:spacing w:after="0" w:line="240" w:lineRule="auto"/>
                              <w:textDirection w:val="btLr"/>
                              <w:rPr>
                                <w:rFonts w:ascii="Arial" w:hAnsi="Arial" w:cs="Arial"/>
                                <w:sz w:val="18"/>
                                <w:szCs w:val="18"/>
                              </w:rPr>
                            </w:pPr>
                          </w:p>
                        </w:txbxContent>
                      </wps:txbx>
                      <wps:bodyPr spcFirstLastPara="1" wrap="square" lIns="91425" tIns="91425" rIns="91425" bIns="91425" anchor="ctr" anchorCtr="0">
                        <a:noAutofit/>
                      </wps:bodyPr>
                    </wps:wsp>
                  </a:graphicData>
                </a:graphic>
              </wp:anchor>
            </w:drawing>
          </mc:Choice>
          <mc:Fallback>
            <w:pict>
              <v:rect w14:anchorId="53620BB6" id="Rectángulo 4" o:spid="_x0000_s1048" style="position:absolute;left:0;text-align:left;margin-left:84.3pt;margin-top:7.6pt;width:329.3pt;height:354.55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N1IygEAAIEDAAAOAAAAZHJzL2Uyb0RvYy54bWysU1uOEzEQ/EfiDpb/yTyYLMsokxViFYS0&#10;gmgXDuB47Iwlv2g7mclxOAsXo+0J2QB/iB/H1e6Uq8o9q7vJaHIUEJSzHa0WJSXCctcru+/o1y+b&#10;V7eUhMhsz7SzoqMnEejd+uWL1ehbUbvB6V4AQRIb2tF3dIjRt0UR+CAMCwvnhcVD6cCwiBD2RQ9s&#10;RHaji7osb4rRQe/BcRECVu/nQ7rO/FIKHj9LGUQkuqOoLeYV8rpLa7FesXYPzA+Kn2Wwf1BhmLJ4&#10;6YXqnkVGDqD+ojKKgwtOxgV3pnBSKi6yB3RTlX+4eRqYF9kLhhP8Jabw/2j5p+MWiOo72lBimcEn&#10;esTQfny3+4N2pEkBjT602Pfkt3BGAbfJ7STBpF/0QaYc6ukSqpgi4Vhsqtv69RLZOZ41y7K+eVMl&#10;1uL57x5C/CCcIWnTUUABOUx2fAhxbv3Vkm6zbqO0xjprtf2tgJypUiTFs8a0i9Nuyhari52d60/o&#10;O3i+UXjnAwtxywBfvqJkxGnoaPh2YCAo0R8txv22auoljs81gGuwuwbM8sHhkPEIlMzgfcxDN6t9&#10;d4hOquws6ZvFnGXjO+dszjOZBuka567nL2f9EwAA//8DAFBLAwQUAAYACAAAACEAJeDyONwAAAAK&#10;AQAADwAAAGRycy9kb3ducmV2LnhtbEyPwU7DMBBE70j8g7VI3KiDKWkIcSpAcIATpHyAEy9xRLwO&#10;sduGv2c5wW1G+zQ7U20XP4oDznEIpOFylYFA6oIdqNfwvnu6KEDEZMiaMRBq+MYI2/r0pDKlDUd6&#10;w0OTesEhFEujwaU0lVLGzqE3cRUmJL59hNmbxHbupZ3NkcP9KFWW5dKbgfiDMxM+OOw+m73X8LoO&#10;qB5VvG96f+OWdvfy/GVyrc/PlrtbEAmX9AfDb32uDjV3asOebBQj+7zIGWVxrUAwUKgNi1bDRq2v&#10;QNaV/D+h/gEAAP//AwBQSwECLQAUAAYACAAAACEAtoM4kv4AAADhAQAAEwAAAAAAAAAAAAAAAAAA&#10;AAAAW0NvbnRlbnRfVHlwZXNdLnhtbFBLAQItABQABgAIAAAAIQA4/SH/1gAAAJQBAAALAAAAAAAA&#10;AAAAAAAAAC8BAABfcmVscy8ucmVsc1BLAQItABQABgAIAAAAIQApfN1IygEAAIEDAAAOAAAAAAAA&#10;AAAAAAAAAC4CAABkcnMvZTJvRG9jLnhtbFBLAQItABQABgAIAAAAIQAl4PI43AAAAAoBAAAPAAAA&#10;AAAAAAAAAAAAACQEAABkcnMvZG93bnJldi54bWxQSwUGAAAAAAQABADzAAAALQUAAAAA&#10;" filled="f" stroked="f">
                <v:textbox inset="2.53958mm,2.53958mm,2.53958mm,2.53958mm">
                  <w:txbxContent>
                    <w:p w14:paraId="29F0BF8E" w14:textId="77777777" w:rsidR="00C42E70" w:rsidRPr="00D70EF5" w:rsidRDefault="00C42E70" w:rsidP="00D70EF5">
                      <w:pPr>
                        <w:spacing w:after="0" w:line="240" w:lineRule="auto"/>
                        <w:textDirection w:val="btLr"/>
                        <w:rPr>
                          <w:rFonts w:ascii="Arial" w:hAnsi="Arial" w:cs="Arial"/>
                          <w:sz w:val="18"/>
                          <w:szCs w:val="18"/>
                        </w:rPr>
                      </w:pPr>
                    </w:p>
                  </w:txbxContent>
                </v:textbox>
              </v:rect>
            </w:pict>
          </mc:Fallback>
        </mc:AlternateContent>
      </w:r>
    </w:p>
    <w:p w14:paraId="2C053865" w14:textId="36BFBE45" w:rsidR="00D70EF5" w:rsidRPr="00D70EF5" w:rsidRDefault="00D70EF5" w:rsidP="00D70EF5">
      <w:pPr>
        <w:spacing w:after="0" w:line="240" w:lineRule="auto"/>
        <w:jc w:val="both"/>
        <w:rPr>
          <w:rFonts w:ascii="Arial" w:hAnsi="Arial" w:cs="Arial"/>
          <w:bCs/>
          <w:color w:val="000000" w:themeColor="text1"/>
          <w:sz w:val="20"/>
          <w:lang w:val="es"/>
        </w:rPr>
      </w:pPr>
    </w:p>
    <w:p w14:paraId="302E02FB" w14:textId="0FDBD5FE" w:rsidR="00D70EF5" w:rsidRPr="003505F2" w:rsidRDefault="00D70EF5" w:rsidP="00D70EF5">
      <w:pPr>
        <w:spacing w:after="0" w:line="240" w:lineRule="auto"/>
        <w:jc w:val="both"/>
        <w:rPr>
          <w:rFonts w:ascii="Arial" w:hAnsi="Arial" w:cs="Arial"/>
          <w:bCs/>
          <w:color w:val="000000" w:themeColor="text1"/>
          <w:sz w:val="20"/>
          <w:lang w:val="es-MX"/>
        </w:rPr>
      </w:pPr>
    </w:p>
    <w:p w14:paraId="0872A264" w14:textId="7F23ED12" w:rsidR="00605538" w:rsidRDefault="00605538" w:rsidP="002F1590">
      <w:pPr>
        <w:spacing w:after="0" w:line="240" w:lineRule="auto"/>
        <w:ind w:firstLine="709"/>
        <w:jc w:val="both"/>
        <w:rPr>
          <w:rFonts w:ascii="Arial" w:hAnsi="Arial" w:cs="Arial"/>
          <w:bCs/>
          <w:color w:val="000000" w:themeColor="text1"/>
          <w:sz w:val="20"/>
          <w:lang w:val="es-MX"/>
        </w:rPr>
      </w:pPr>
    </w:p>
    <w:p w14:paraId="1E29057E" w14:textId="77777777" w:rsidR="00605538" w:rsidRDefault="00605538" w:rsidP="002F1590">
      <w:pPr>
        <w:spacing w:after="0" w:line="240" w:lineRule="auto"/>
        <w:ind w:firstLine="709"/>
        <w:jc w:val="both"/>
        <w:rPr>
          <w:rFonts w:ascii="Arial" w:hAnsi="Arial" w:cs="Arial"/>
          <w:bCs/>
          <w:color w:val="000000" w:themeColor="text1"/>
          <w:sz w:val="20"/>
          <w:lang w:val="es-MX"/>
        </w:rPr>
      </w:pPr>
    </w:p>
    <w:p w14:paraId="767B2E73" w14:textId="77777777" w:rsidR="00605538" w:rsidRDefault="00605538" w:rsidP="002F1590">
      <w:pPr>
        <w:spacing w:after="0" w:line="240" w:lineRule="auto"/>
        <w:ind w:firstLine="709"/>
        <w:jc w:val="both"/>
        <w:rPr>
          <w:rFonts w:ascii="Arial" w:hAnsi="Arial" w:cs="Arial"/>
          <w:bCs/>
          <w:color w:val="000000" w:themeColor="text1"/>
          <w:sz w:val="20"/>
          <w:lang w:val="es-MX"/>
        </w:rPr>
      </w:pPr>
    </w:p>
    <w:p w14:paraId="759BBB68" w14:textId="7A37AB27" w:rsidR="00605538" w:rsidRDefault="00605538" w:rsidP="002F1590">
      <w:pPr>
        <w:spacing w:after="0" w:line="240" w:lineRule="auto"/>
        <w:ind w:firstLine="709"/>
        <w:jc w:val="both"/>
        <w:rPr>
          <w:rFonts w:ascii="Arial" w:hAnsi="Arial" w:cs="Arial"/>
          <w:bCs/>
          <w:color w:val="000000" w:themeColor="text1"/>
          <w:sz w:val="20"/>
          <w:lang w:val="es-MX"/>
        </w:rPr>
      </w:pPr>
    </w:p>
    <w:p w14:paraId="3070A841" w14:textId="77777777" w:rsidR="00605538" w:rsidRDefault="00605538" w:rsidP="002F1590">
      <w:pPr>
        <w:spacing w:after="0" w:line="240" w:lineRule="auto"/>
        <w:ind w:firstLine="709"/>
        <w:jc w:val="both"/>
        <w:rPr>
          <w:rFonts w:ascii="Arial" w:hAnsi="Arial" w:cs="Arial"/>
          <w:bCs/>
          <w:color w:val="000000" w:themeColor="text1"/>
          <w:sz w:val="20"/>
          <w:lang w:val="es-MX"/>
        </w:rPr>
      </w:pPr>
    </w:p>
    <w:p w14:paraId="3CDCBF9A" w14:textId="3D703779" w:rsidR="00605538" w:rsidRDefault="00605538" w:rsidP="002F1590">
      <w:pPr>
        <w:spacing w:after="0" w:line="240" w:lineRule="auto"/>
        <w:ind w:firstLine="709"/>
        <w:jc w:val="both"/>
        <w:rPr>
          <w:rFonts w:ascii="Arial" w:hAnsi="Arial" w:cs="Arial"/>
          <w:bCs/>
          <w:color w:val="000000" w:themeColor="text1"/>
          <w:sz w:val="20"/>
          <w:lang w:val="es-MX"/>
        </w:rPr>
      </w:pPr>
    </w:p>
    <w:p w14:paraId="51848FF8" w14:textId="77777777" w:rsidR="00605538" w:rsidRDefault="00605538" w:rsidP="002F1590">
      <w:pPr>
        <w:spacing w:after="0" w:line="240" w:lineRule="auto"/>
        <w:ind w:firstLine="709"/>
        <w:jc w:val="both"/>
        <w:rPr>
          <w:rFonts w:ascii="Arial" w:hAnsi="Arial" w:cs="Arial"/>
          <w:bCs/>
          <w:color w:val="000000" w:themeColor="text1"/>
          <w:sz w:val="20"/>
          <w:lang w:val="es-MX"/>
        </w:rPr>
      </w:pPr>
    </w:p>
    <w:p w14:paraId="217505DA" w14:textId="76410DDB" w:rsidR="00605538" w:rsidRDefault="00605538" w:rsidP="002F1590">
      <w:pPr>
        <w:spacing w:after="0" w:line="240" w:lineRule="auto"/>
        <w:ind w:firstLine="709"/>
        <w:jc w:val="both"/>
        <w:rPr>
          <w:rFonts w:ascii="Arial" w:hAnsi="Arial" w:cs="Arial"/>
          <w:bCs/>
          <w:color w:val="000000" w:themeColor="text1"/>
          <w:sz w:val="20"/>
          <w:lang w:val="es-MX"/>
        </w:rPr>
      </w:pPr>
    </w:p>
    <w:p w14:paraId="193E47B0" w14:textId="24A7A2C4" w:rsidR="00605538" w:rsidRDefault="00605538" w:rsidP="002F1590">
      <w:pPr>
        <w:spacing w:after="0" w:line="240" w:lineRule="auto"/>
        <w:ind w:firstLine="709"/>
        <w:jc w:val="both"/>
        <w:rPr>
          <w:rFonts w:ascii="Arial" w:hAnsi="Arial" w:cs="Arial"/>
          <w:bCs/>
          <w:color w:val="000000" w:themeColor="text1"/>
          <w:sz w:val="20"/>
          <w:lang w:val="es-MX"/>
        </w:rPr>
      </w:pPr>
    </w:p>
    <w:p w14:paraId="1149B0C5" w14:textId="65660F15" w:rsidR="00605538" w:rsidRDefault="00605538" w:rsidP="002F1590">
      <w:pPr>
        <w:spacing w:after="0" w:line="240" w:lineRule="auto"/>
        <w:ind w:firstLine="709"/>
        <w:jc w:val="both"/>
        <w:rPr>
          <w:rFonts w:ascii="Arial" w:hAnsi="Arial" w:cs="Arial"/>
          <w:bCs/>
          <w:color w:val="000000" w:themeColor="text1"/>
          <w:sz w:val="20"/>
          <w:lang w:val="es-MX"/>
        </w:rPr>
      </w:pPr>
    </w:p>
    <w:p w14:paraId="4DAA61AB" w14:textId="277DB9AB" w:rsidR="00605538" w:rsidRDefault="00605538" w:rsidP="002F1590">
      <w:pPr>
        <w:spacing w:after="0" w:line="240" w:lineRule="auto"/>
        <w:ind w:firstLine="709"/>
        <w:jc w:val="both"/>
        <w:rPr>
          <w:rFonts w:ascii="Arial" w:hAnsi="Arial" w:cs="Arial"/>
          <w:bCs/>
          <w:color w:val="000000" w:themeColor="text1"/>
          <w:sz w:val="20"/>
          <w:lang w:val="es-MX"/>
        </w:rPr>
      </w:pPr>
    </w:p>
    <w:p w14:paraId="36F89545" w14:textId="77777777" w:rsidR="00605538" w:rsidRDefault="00605538" w:rsidP="002F1590">
      <w:pPr>
        <w:spacing w:after="0" w:line="240" w:lineRule="auto"/>
        <w:ind w:firstLine="709"/>
        <w:jc w:val="both"/>
        <w:rPr>
          <w:rFonts w:ascii="Arial" w:hAnsi="Arial" w:cs="Arial"/>
          <w:bCs/>
          <w:color w:val="000000" w:themeColor="text1"/>
          <w:sz w:val="20"/>
          <w:lang w:val="es-MX"/>
        </w:rPr>
      </w:pPr>
    </w:p>
    <w:p w14:paraId="6269E25E" w14:textId="1B12C20D" w:rsidR="00605538" w:rsidRDefault="00605538" w:rsidP="002F1590">
      <w:pPr>
        <w:spacing w:after="0" w:line="240" w:lineRule="auto"/>
        <w:ind w:firstLine="709"/>
        <w:jc w:val="both"/>
        <w:rPr>
          <w:rFonts w:ascii="Arial" w:hAnsi="Arial" w:cs="Arial"/>
          <w:bCs/>
          <w:color w:val="000000" w:themeColor="text1"/>
          <w:sz w:val="20"/>
          <w:lang w:val="es-MX"/>
        </w:rPr>
      </w:pPr>
    </w:p>
    <w:p w14:paraId="55E21EAA" w14:textId="77777777" w:rsidR="00605538" w:rsidRDefault="00605538" w:rsidP="002F1590">
      <w:pPr>
        <w:spacing w:after="0" w:line="240" w:lineRule="auto"/>
        <w:ind w:firstLine="709"/>
        <w:jc w:val="both"/>
        <w:rPr>
          <w:rFonts w:ascii="Arial" w:hAnsi="Arial" w:cs="Arial"/>
          <w:bCs/>
          <w:color w:val="000000" w:themeColor="text1"/>
          <w:sz w:val="20"/>
          <w:lang w:val="es-MX"/>
        </w:rPr>
      </w:pPr>
    </w:p>
    <w:p w14:paraId="35E1B5CC" w14:textId="77777777" w:rsidR="00605538" w:rsidRDefault="00605538" w:rsidP="002F1590">
      <w:pPr>
        <w:spacing w:after="0" w:line="240" w:lineRule="auto"/>
        <w:ind w:firstLine="709"/>
        <w:jc w:val="both"/>
        <w:rPr>
          <w:rFonts w:ascii="Arial" w:hAnsi="Arial" w:cs="Arial"/>
          <w:bCs/>
          <w:color w:val="000000" w:themeColor="text1"/>
          <w:sz w:val="20"/>
          <w:lang w:val="es-MX"/>
        </w:rPr>
      </w:pPr>
    </w:p>
    <w:p w14:paraId="17A8B8B8" w14:textId="1E98E0CE" w:rsidR="00605538" w:rsidRDefault="00605538" w:rsidP="002F1590">
      <w:pPr>
        <w:spacing w:after="0" w:line="240" w:lineRule="auto"/>
        <w:ind w:firstLine="709"/>
        <w:jc w:val="both"/>
        <w:rPr>
          <w:rFonts w:ascii="Arial" w:hAnsi="Arial" w:cs="Arial"/>
          <w:bCs/>
          <w:color w:val="000000" w:themeColor="text1"/>
          <w:sz w:val="20"/>
          <w:lang w:val="es-MX"/>
        </w:rPr>
      </w:pPr>
      <w:r>
        <w:rPr>
          <w:rFonts w:ascii="Arial" w:hAnsi="Arial" w:cs="Arial"/>
          <w:bCs/>
          <w:noProof/>
          <w:color w:val="000000" w:themeColor="text1"/>
          <w:sz w:val="20"/>
          <w:lang w:val="en-US"/>
        </w:rPr>
        <mc:AlternateContent>
          <mc:Choice Requires="wps">
            <w:drawing>
              <wp:anchor distT="0" distB="0" distL="114300" distR="114300" simplePos="0" relativeHeight="251642880" behindDoc="1" locked="0" layoutInCell="1" allowOverlap="1" wp14:anchorId="367CB50E" wp14:editId="4203AC00">
                <wp:simplePos x="0" y="0"/>
                <wp:positionH relativeFrom="column">
                  <wp:posOffset>2671445</wp:posOffset>
                </wp:positionH>
                <wp:positionV relativeFrom="paragraph">
                  <wp:posOffset>12065</wp:posOffset>
                </wp:positionV>
                <wp:extent cx="749" cy="291263"/>
                <wp:effectExtent l="76200" t="0" r="75565" b="52070"/>
                <wp:wrapNone/>
                <wp:docPr id="17" name="Conector recto de flecha 17"/>
                <wp:cNvGraphicFramePr/>
                <a:graphic xmlns:a="http://schemas.openxmlformats.org/drawingml/2006/main">
                  <a:graphicData uri="http://schemas.microsoft.com/office/word/2010/wordprocessingShape">
                    <wps:wsp>
                      <wps:cNvCnPr/>
                      <wps:spPr>
                        <a:xfrm flipH="1">
                          <a:off x="0" y="0"/>
                          <a:ext cx="749" cy="291263"/>
                        </a:xfrm>
                        <a:prstGeom prst="straightConnector1">
                          <a:avLst/>
                        </a:prstGeom>
                        <a:noFill/>
                        <a:ln w="9525" cap="flat" cmpd="sng">
                          <a:solidFill>
                            <a:srgbClr val="006666"/>
                          </a:solidFill>
                          <a:prstDash val="solid"/>
                          <a:miter lim="800000"/>
                          <a:headEnd type="none" w="sm" len="sm"/>
                          <a:tailEnd type="triangle" w="med" len="med"/>
                        </a:ln>
                      </wps:spPr>
                      <wps:bodyPr/>
                    </wps:wsp>
                  </a:graphicData>
                </a:graphic>
              </wp:anchor>
            </w:drawing>
          </mc:Choice>
          <mc:Fallback>
            <w:pict>
              <v:shape w14:anchorId="36FA6310" id="Conector recto de flecha 17" o:spid="_x0000_s1026" type="#_x0000_t32" style="position:absolute;margin-left:210.35pt;margin-top:.95pt;width:.05pt;height:22.95pt;flip:x;z-index:-251673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L6x9wEAANIDAAAOAAAAZHJzL2Uyb0RvYy54bWysU02P0zAQvSPxHyzfadLAdrdR0z20LBwQ&#10;VAJ+wNR2Ekv+0tg07b9n7HS7fNwQOTjj8ZvnmTfjzePZGnZSGLV3HV8uas6UE15qN3T8+7enNw+c&#10;xQROgvFOdfyiIn/cvn61mUKrGj96IxUyInGxnULHx5RCW1VRjMpCXPigHB32Hi0k2uJQSYSJ2K2p&#10;mrpeVZNHGdALFSN59/Mh3xb+vlcifen7qBIzHafcUlmxrMe8VtsNtANCGLW4pgH/kIUF7ejSG9Ue&#10;ErAfqP+islqgj75PC+Ft5fteC1VqoGqW9R/VfB0hqFILiRPDTab4/2jF59MBmZbUu3vOHFjq0Y46&#10;JZJHhvnHpGK9UWIERhDSawqxpbCdO+B1F8MBc/HnHi1hdfhIdEUOKpCdi9qXm9rqnJgg5/27NWeC&#10;/M162azeZupq5shcAWP6oLxl2eh4TAh6GBPlNic388PpU0xz4HNADnb+SRtDfmiNY1PH13fNHV0G&#10;NGG9gUSmDVRzdENJM3qjZQ7JERGH484gO0GemXpF3zW332D5vj3EccaVowyD1upEI2207fhDnb/Z&#10;PSqQ751k6RJIY0ca85xZtJwZRW+HjBKeQJsXXEINbjAz1ip5BWdrLts4ki23ZG5Cto5eXkpvip8G&#10;pwh7HfI8mb/uS/TLU9z+BAAA//8DAFBLAwQUAAYACAAAACEAvwsAIt0AAAAIAQAADwAAAGRycy9k&#10;b3ducmV2LnhtbEyPQUvDQBCF74L/YRnBm90YNK0xmyJKBC+KtYjHaXZMQrOzIbtp03/veNLbPL7H&#10;m/eK9ex6daAxdJ4NXC8SUMS1tx03BrYf1dUKVIjIFnvPZOBEAdbl+VmBufVHfqfDJjZKQjjkaKCN&#10;cci1DnVLDsPCD8TCvv3oMIocG21HPEq463WaJJl22LF8aHGgx5bq/WZyBlJ+C9vpqfn6fE1P+5dq&#10;yJ5vq8yYy4v54R5UpDn+meG3vlSHUjrt/MQ2qN7ATZosxSrgDpRw0TJlJ8dyBbos9P8B5Q8AAAD/&#10;/wMAUEsBAi0AFAAGAAgAAAAhALaDOJL+AAAA4QEAABMAAAAAAAAAAAAAAAAAAAAAAFtDb250ZW50&#10;X1R5cGVzXS54bWxQSwECLQAUAAYACAAAACEAOP0h/9YAAACUAQAACwAAAAAAAAAAAAAAAAAvAQAA&#10;X3JlbHMvLnJlbHNQSwECLQAUAAYACAAAACEA0pi+sfcBAADSAwAADgAAAAAAAAAAAAAAAAAuAgAA&#10;ZHJzL2Uyb0RvYy54bWxQSwECLQAUAAYACAAAACEAvwsAIt0AAAAIAQAADwAAAAAAAAAAAAAAAABR&#10;BAAAZHJzL2Rvd25yZXYueG1sUEsFBgAAAAAEAAQA8wAAAFsFAAAAAA==&#10;" strokecolor="#066">
                <v:stroke startarrowwidth="narrow" startarrowlength="short" endarrow="block" joinstyle="miter"/>
              </v:shape>
            </w:pict>
          </mc:Fallback>
        </mc:AlternateContent>
      </w:r>
    </w:p>
    <w:p w14:paraId="4716DB3B" w14:textId="7CBF7F90" w:rsidR="00605538" w:rsidRDefault="00605538" w:rsidP="002F1590">
      <w:pPr>
        <w:spacing w:after="0" w:line="240" w:lineRule="auto"/>
        <w:ind w:firstLine="709"/>
        <w:jc w:val="both"/>
        <w:rPr>
          <w:rFonts w:ascii="Arial" w:hAnsi="Arial" w:cs="Arial"/>
          <w:bCs/>
          <w:color w:val="000000" w:themeColor="text1"/>
          <w:sz w:val="20"/>
          <w:lang w:val="es-MX"/>
        </w:rPr>
      </w:pPr>
    </w:p>
    <w:p w14:paraId="57CA9AD3" w14:textId="7F4D9BE0" w:rsidR="00605538" w:rsidRDefault="00605538" w:rsidP="002F1590">
      <w:pPr>
        <w:spacing w:after="0" w:line="240" w:lineRule="auto"/>
        <w:ind w:firstLine="709"/>
        <w:jc w:val="both"/>
        <w:rPr>
          <w:rFonts w:ascii="Arial" w:hAnsi="Arial" w:cs="Arial"/>
          <w:bCs/>
          <w:color w:val="000000" w:themeColor="text1"/>
          <w:sz w:val="20"/>
          <w:lang w:val="es-MX"/>
        </w:rPr>
      </w:pPr>
    </w:p>
    <w:p w14:paraId="7D8084A6" w14:textId="77777777" w:rsidR="00605538" w:rsidRDefault="00605538" w:rsidP="002F1590">
      <w:pPr>
        <w:spacing w:after="0" w:line="240" w:lineRule="auto"/>
        <w:ind w:firstLine="709"/>
        <w:jc w:val="both"/>
        <w:rPr>
          <w:rFonts w:ascii="Arial" w:hAnsi="Arial" w:cs="Arial"/>
          <w:bCs/>
          <w:color w:val="000000" w:themeColor="text1"/>
          <w:sz w:val="20"/>
          <w:lang w:val="es-MX"/>
        </w:rPr>
      </w:pPr>
    </w:p>
    <w:p w14:paraId="66DD4DA9" w14:textId="0B0F5D23" w:rsidR="00605538" w:rsidRDefault="00605538" w:rsidP="002F1590">
      <w:pPr>
        <w:spacing w:after="0" w:line="240" w:lineRule="auto"/>
        <w:ind w:firstLine="709"/>
        <w:jc w:val="both"/>
        <w:rPr>
          <w:rFonts w:ascii="Arial" w:hAnsi="Arial" w:cs="Arial"/>
          <w:bCs/>
          <w:color w:val="000000" w:themeColor="text1"/>
          <w:sz w:val="20"/>
          <w:lang w:val="es-MX"/>
        </w:rPr>
      </w:pPr>
    </w:p>
    <w:p w14:paraId="1DC182FB" w14:textId="77777777" w:rsidR="00605538" w:rsidRDefault="00605538" w:rsidP="002F1590">
      <w:pPr>
        <w:spacing w:after="0" w:line="240" w:lineRule="auto"/>
        <w:ind w:firstLine="709"/>
        <w:jc w:val="both"/>
        <w:rPr>
          <w:rFonts w:ascii="Arial" w:hAnsi="Arial" w:cs="Arial"/>
          <w:bCs/>
          <w:color w:val="000000" w:themeColor="text1"/>
          <w:sz w:val="20"/>
          <w:lang w:val="es-MX"/>
        </w:rPr>
      </w:pPr>
    </w:p>
    <w:p w14:paraId="596A05DE" w14:textId="61E77398" w:rsidR="00605538" w:rsidRDefault="00605538" w:rsidP="002F1590">
      <w:pPr>
        <w:spacing w:after="0" w:line="240" w:lineRule="auto"/>
        <w:ind w:firstLine="709"/>
        <w:jc w:val="both"/>
        <w:rPr>
          <w:rFonts w:ascii="Arial" w:hAnsi="Arial" w:cs="Arial"/>
          <w:bCs/>
          <w:color w:val="000000" w:themeColor="text1"/>
          <w:sz w:val="20"/>
          <w:lang w:val="es-MX"/>
        </w:rPr>
      </w:pPr>
    </w:p>
    <w:p w14:paraId="37FA3BBD" w14:textId="73F78684" w:rsidR="00605538" w:rsidRDefault="00605538" w:rsidP="002F1590">
      <w:pPr>
        <w:spacing w:after="0" w:line="240" w:lineRule="auto"/>
        <w:ind w:firstLine="709"/>
        <w:jc w:val="both"/>
        <w:rPr>
          <w:rFonts w:ascii="Arial" w:hAnsi="Arial" w:cs="Arial"/>
          <w:bCs/>
          <w:color w:val="000000" w:themeColor="text1"/>
          <w:sz w:val="20"/>
          <w:lang w:val="es-MX"/>
        </w:rPr>
      </w:pPr>
    </w:p>
    <w:p w14:paraId="37A15307" w14:textId="3C9D5AEC" w:rsidR="00605538" w:rsidRDefault="00605538" w:rsidP="002F1590">
      <w:pPr>
        <w:spacing w:after="0" w:line="240" w:lineRule="auto"/>
        <w:ind w:firstLine="709"/>
        <w:jc w:val="both"/>
        <w:rPr>
          <w:rFonts w:ascii="Arial" w:hAnsi="Arial" w:cs="Arial"/>
          <w:bCs/>
          <w:color w:val="000000" w:themeColor="text1"/>
          <w:sz w:val="20"/>
          <w:lang w:val="es-MX"/>
        </w:rPr>
      </w:pPr>
    </w:p>
    <w:p w14:paraId="4CFFD6DF" w14:textId="72CD2146" w:rsidR="00605538" w:rsidRDefault="00605538" w:rsidP="002F1590">
      <w:pPr>
        <w:spacing w:after="0" w:line="240" w:lineRule="auto"/>
        <w:ind w:firstLine="709"/>
        <w:jc w:val="both"/>
        <w:rPr>
          <w:rFonts w:ascii="Arial" w:hAnsi="Arial" w:cs="Arial"/>
          <w:bCs/>
          <w:color w:val="000000" w:themeColor="text1"/>
          <w:sz w:val="20"/>
          <w:lang w:val="es-MX"/>
        </w:rPr>
      </w:pPr>
    </w:p>
    <w:p w14:paraId="67EDDCDA" w14:textId="77777777" w:rsidR="00605538" w:rsidRDefault="00605538" w:rsidP="002F1590">
      <w:pPr>
        <w:spacing w:after="0" w:line="240" w:lineRule="auto"/>
        <w:ind w:firstLine="709"/>
        <w:jc w:val="both"/>
        <w:rPr>
          <w:rFonts w:ascii="Arial" w:hAnsi="Arial" w:cs="Arial"/>
          <w:bCs/>
          <w:color w:val="000000" w:themeColor="text1"/>
          <w:sz w:val="20"/>
          <w:lang w:val="es-MX"/>
        </w:rPr>
      </w:pPr>
    </w:p>
    <w:p w14:paraId="74C399C6" w14:textId="77777777" w:rsidR="00605538" w:rsidRDefault="00605538" w:rsidP="002F1590">
      <w:pPr>
        <w:spacing w:after="0" w:line="240" w:lineRule="auto"/>
        <w:ind w:firstLine="709"/>
        <w:jc w:val="both"/>
        <w:rPr>
          <w:rFonts w:ascii="Arial" w:hAnsi="Arial" w:cs="Arial"/>
          <w:bCs/>
          <w:color w:val="000000" w:themeColor="text1"/>
          <w:sz w:val="20"/>
          <w:lang w:val="es-MX"/>
        </w:rPr>
      </w:pPr>
    </w:p>
    <w:p w14:paraId="1E8D0DCE" w14:textId="77777777" w:rsidR="00605538" w:rsidRDefault="00605538" w:rsidP="002F1590">
      <w:pPr>
        <w:spacing w:after="0" w:line="240" w:lineRule="auto"/>
        <w:ind w:firstLine="709"/>
        <w:jc w:val="both"/>
        <w:rPr>
          <w:rFonts w:ascii="Arial" w:hAnsi="Arial" w:cs="Arial"/>
          <w:bCs/>
          <w:color w:val="000000" w:themeColor="text1"/>
          <w:sz w:val="20"/>
          <w:lang w:val="es-MX"/>
        </w:rPr>
      </w:pPr>
    </w:p>
    <w:p w14:paraId="2F46325E" w14:textId="77777777" w:rsidR="00605538" w:rsidRDefault="00605538" w:rsidP="002F1590">
      <w:pPr>
        <w:spacing w:after="0" w:line="240" w:lineRule="auto"/>
        <w:ind w:firstLine="709"/>
        <w:jc w:val="both"/>
        <w:rPr>
          <w:rFonts w:ascii="Arial" w:hAnsi="Arial" w:cs="Arial"/>
          <w:bCs/>
          <w:color w:val="000000" w:themeColor="text1"/>
          <w:sz w:val="20"/>
          <w:lang w:val="es-MX"/>
        </w:rPr>
      </w:pPr>
    </w:p>
    <w:p w14:paraId="5DDEBD75" w14:textId="77777777" w:rsidR="00C42E70" w:rsidRDefault="00C42E70" w:rsidP="00C42E70">
      <w:pPr>
        <w:spacing w:after="0" w:line="240" w:lineRule="auto"/>
        <w:jc w:val="both"/>
        <w:rPr>
          <w:rFonts w:ascii="Arial" w:hAnsi="Arial" w:cs="Arial"/>
          <w:bCs/>
          <w:color w:val="000000" w:themeColor="text1"/>
          <w:sz w:val="20"/>
          <w:lang w:val="es-MX"/>
        </w:rPr>
      </w:pPr>
    </w:p>
    <w:p w14:paraId="245C107C" w14:textId="5401A333" w:rsidR="00C42E70" w:rsidRPr="00C42E70" w:rsidRDefault="00C42E70" w:rsidP="00C42E70">
      <w:pPr>
        <w:spacing w:after="0" w:line="240" w:lineRule="auto"/>
        <w:ind w:firstLine="709"/>
        <w:jc w:val="both"/>
        <w:rPr>
          <w:rFonts w:ascii="Arial" w:hAnsi="Arial" w:cs="Arial"/>
          <w:bCs/>
          <w:color w:val="000000" w:themeColor="text1"/>
          <w:sz w:val="20"/>
          <w:lang w:val="es-MX"/>
        </w:rPr>
      </w:pPr>
      <w:r w:rsidRPr="00C42E70">
        <w:rPr>
          <w:rFonts w:ascii="Arial" w:hAnsi="Arial" w:cs="Arial"/>
          <w:bCs/>
          <w:color w:val="000000" w:themeColor="text1"/>
          <w:sz w:val="20"/>
          <w:lang w:val="es-MX"/>
        </w:rPr>
        <w:t>La estrategia inicial de búsqueda reunió una gran cantidad de información, sumando un total de 1,892 documentos: 1,058 provenientes del motor de búsqueda Google Académico y 834 de la base de datos Scopus. Esta diversidad refleja las múltiples aproximaciones teóricas sobre la gobernanza en la gestión pública, integrando fuentes con variadas bases metodológicas y hallazgos heterogéneos.</w:t>
      </w:r>
    </w:p>
    <w:p w14:paraId="7AF1313F" w14:textId="77777777" w:rsidR="00C42E70" w:rsidRPr="00C42E70" w:rsidRDefault="00C42E70" w:rsidP="00C42E70">
      <w:pPr>
        <w:spacing w:after="0" w:line="240" w:lineRule="auto"/>
        <w:ind w:firstLine="709"/>
        <w:jc w:val="both"/>
        <w:rPr>
          <w:rFonts w:ascii="Arial" w:hAnsi="Arial" w:cs="Arial"/>
          <w:bCs/>
          <w:color w:val="000000" w:themeColor="text1"/>
          <w:sz w:val="20"/>
          <w:lang w:val="es-MX"/>
        </w:rPr>
      </w:pPr>
      <w:r w:rsidRPr="00C42E70">
        <w:rPr>
          <w:rFonts w:ascii="Arial" w:hAnsi="Arial" w:cs="Arial"/>
          <w:bCs/>
          <w:color w:val="000000" w:themeColor="text1"/>
          <w:sz w:val="20"/>
          <w:lang w:val="es-MX"/>
        </w:rPr>
        <w:t>Durante la fase de cribado, se aplicaron rigurosos filtros técnicos y temáticos que redujeron significativamente el número de documentos. La exclusión de 1,035 textos debido a duplicidades, lenguaje inadecuado o falta de correspondencia con los términos clave evidenció un proceso de depuración orientado a preservar la relevancia del material, sin sacrificar la diversidad conceptual.</w:t>
      </w:r>
    </w:p>
    <w:p w14:paraId="11FB33AD" w14:textId="77777777" w:rsidR="00C42E70" w:rsidRPr="00C42E70" w:rsidRDefault="00C42E70" w:rsidP="00C42E70">
      <w:pPr>
        <w:spacing w:after="0" w:line="240" w:lineRule="auto"/>
        <w:ind w:firstLine="709"/>
        <w:jc w:val="both"/>
        <w:rPr>
          <w:rFonts w:ascii="Arial" w:hAnsi="Arial" w:cs="Arial"/>
          <w:bCs/>
          <w:color w:val="000000" w:themeColor="text1"/>
          <w:sz w:val="20"/>
          <w:lang w:val="es-MX"/>
        </w:rPr>
      </w:pPr>
      <w:r w:rsidRPr="00C42E70">
        <w:rPr>
          <w:rFonts w:ascii="Arial" w:hAnsi="Arial" w:cs="Arial"/>
          <w:bCs/>
          <w:color w:val="000000" w:themeColor="text1"/>
          <w:sz w:val="20"/>
          <w:lang w:val="es-MX"/>
        </w:rPr>
        <w:t>En la etapa de elegibilidad, de los 857 textos preseleccionados, se descartaron 720 por no cumplir con criterios metodológicos y 118 más por no tratar directamente los modelos de gobernanza en el ámbito público. Esta fase reafirmó un criterio de selección cuidadoso y especializado, centrado en mantener la coherencia entre el objeto de estudio y las fuentes utilizadas.</w:t>
      </w:r>
    </w:p>
    <w:p w14:paraId="6CFA3C00" w14:textId="32EBAE23" w:rsidR="00C42E70" w:rsidRDefault="00C42E70" w:rsidP="00C42E70">
      <w:pPr>
        <w:spacing w:after="0" w:line="240" w:lineRule="auto"/>
        <w:ind w:firstLine="709"/>
        <w:jc w:val="both"/>
        <w:rPr>
          <w:rFonts w:ascii="Arial" w:hAnsi="Arial" w:cs="Arial"/>
          <w:bCs/>
          <w:color w:val="000000" w:themeColor="text1"/>
          <w:sz w:val="20"/>
          <w:lang w:val="es-MX"/>
        </w:rPr>
      </w:pPr>
      <w:r w:rsidRPr="00C42E70">
        <w:rPr>
          <w:rFonts w:ascii="Arial" w:hAnsi="Arial" w:cs="Arial"/>
          <w:bCs/>
          <w:color w:val="000000" w:themeColor="text1"/>
          <w:sz w:val="20"/>
          <w:lang w:val="es-MX"/>
        </w:rPr>
        <w:t>Finalmente, la inclusión se concretó sobre una base de 19 artículos, que a pesar de su número limitado, constituyen un núcleo depurado y sólido de investigaciones. Estos estudios aportan, desde diferentes perspectivas, una discusión consistente y actualizada sobre las prácticas y modelos de gobernanza aplicables a la administración pública. En este proceso, se priorizó la calidad sobre la cantidad, favoreciendo una comprensión más profunda y precisa del fenómeno analizado.</w:t>
      </w:r>
    </w:p>
    <w:p w14:paraId="16844DE2" w14:textId="619A7061" w:rsidR="00C42E70" w:rsidRDefault="00C42E70" w:rsidP="00C42E70">
      <w:pPr>
        <w:spacing w:after="0" w:line="240" w:lineRule="auto"/>
        <w:jc w:val="both"/>
        <w:rPr>
          <w:rFonts w:ascii="Arial" w:hAnsi="Arial" w:cs="Arial"/>
          <w:bCs/>
          <w:color w:val="000000" w:themeColor="text1"/>
          <w:sz w:val="20"/>
          <w:lang w:val="es-MX"/>
        </w:rPr>
      </w:pPr>
    </w:p>
    <w:p w14:paraId="09F84F27" w14:textId="77777777" w:rsidR="00C42E70" w:rsidRDefault="00C42E70" w:rsidP="00C42E70">
      <w:pPr>
        <w:spacing w:after="0" w:line="240" w:lineRule="auto"/>
        <w:jc w:val="both"/>
        <w:rPr>
          <w:rFonts w:ascii="Century Gothic" w:hAnsi="Century Gothic" w:cs="Arial"/>
          <w:b/>
          <w:bCs/>
          <w:color w:val="000000" w:themeColor="text1"/>
          <w:lang w:val="es-MX"/>
        </w:rPr>
      </w:pPr>
    </w:p>
    <w:p w14:paraId="73AB9F78" w14:textId="03F28581" w:rsidR="00C42E70" w:rsidRPr="00C42E70" w:rsidRDefault="00C42E70" w:rsidP="00C42E70">
      <w:pPr>
        <w:spacing w:after="0" w:line="240" w:lineRule="auto"/>
        <w:jc w:val="both"/>
        <w:rPr>
          <w:rFonts w:ascii="Century Gothic" w:hAnsi="Century Gothic" w:cs="Arial"/>
          <w:b/>
          <w:bCs/>
          <w:color w:val="000000" w:themeColor="text1"/>
          <w:lang w:val="es-MX"/>
        </w:rPr>
      </w:pPr>
      <w:r w:rsidRPr="00C42E70">
        <w:rPr>
          <w:rFonts w:ascii="Century Gothic" w:hAnsi="Century Gothic" w:cs="Arial"/>
          <w:b/>
          <w:bCs/>
          <w:color w:val="000000" w:themeColor="text1"/>
          <w:lang w:val="es-MX"/>
        </w:rPr>
        <w:lastRenderedPageBreak/>
        <w:t>Resultados y discusión</w:t>
      </w:r>
    </w:p>
    <w:p w14:paraId="26A3D4BF" w14:textId="77777777" w:rsidR="00C42E70" w:rsidRDefault="00C42E70" w:rsidP="00C42E70">
      <w:pPr>
        <w:spacing w:after="0" w:line="240" w:lineRule="auto"/>
        <w:ind w:firstLine="708"/>
        <w:jc w:val="both"/>
        <w:rPr>
          <w:rFonts w:ascii="Arial" w:hAnsi="Arial" w:cs="Arial"/>
          <w:bCs/>
          <w:color w:val="000000" w:themeColor="text1"/>
          <w:sz w:val="20"/>
          <w:lang w:val="es-MX"/>
        </w:rPr>
      </w:pPr>
      <w:r w:rsidRPr="00C42E70">
        <w:rPr>
          <w:rFonts w:ascii="Arial" w:hAnsi="Arial" w:cs="Arial"/>
          <w:bCs/>
          <w:color w:val="000000" w:themeColor="text1"/>
          <w:sz w:val="20"/>
          <w:lang w:val="es-MX"/>
        </w:rPr>
        <w:t>Luego de recopilar una cantidad significativa de resultados, en la Tabla 2 se presenta la selección de artículos que sustentan el análisis sobre la gobernanza pública en sus diversas dimensiones. Esta recopilación incluye investigaciones publicadas en revistas indexadas tanto de alcance internacional como regional, abarcando temáticas relevantes como los modelos de gobernanza, la aplicación tecnológica en la gestión pública, los desafíos emergentes en la era digital y la participación ciudadana.</w:t>
      </w:r>
    </w:p>
    <w:p w14:paraId="34A0B791" w14:textId="03B2636F" w:rsidR="00C42E70" w:rsidRDefault="00C42E70" w:rsidP="00C42E70">
      <w:pPr>
        <w:spacing w:after="0" w:line="240" w:lineRule="auto"/>
        <w:ind w:firstLine="708"/>
        <w:jc w:val="both"/>
        <w:rPr>
          <w:rFonts w:ascii="Arial" w:hAnsi="Arial" w:cs="Arial"/>
          <w:bCs/>
          <w:color w:val="000000" w:themeColor="text1"/>
          <w:sz w:val="20"/>
          <w:lang w:val="es-MX"/>
        </w:rPr>
      </w:pPr>
      <w:r w:rsidRPr="00C42E70">
        <w:rPr>
          <w:rFonts w:ascii="Arial" w:hAnsi="Arial" w:cs="Arial"/>
          <w:bCs/>
          <w:color w:val="000000" w:themeColor="text1"/>
          <w:sz w:val="20"/>
          <w:lang w:val="es-MX"/>
        </w:rPr>
        <w:t>La siguiente tabla sintetiza las principales características de cada estudio: autoría, título, revista de publicación y la metodología empleada, destacando la predominancia de enfoques cualitativos y algunos estudios con métodos mixtos.</w:t>
      </w:r>
    </w:p>
    <w:p w14:paraId="71A8FAA4" w14:textId="77777777" w:rsidR="00C42E70" w:rsidRDefault="00C42E70" w:rsidP="00C42E70">
      <w:pPr>
        <w:spacing w:after="0" w:line="240" w:lineRule="auto"/>
        <w:jc w:val="both"/>
        <w:rPr>
          <w:rFonts w:ascii="Arial" w:hAnsi="Arial" w:cs="Arial"/>
          <w:b/>
          <w:bCs/>
          <w:color w:val="000000" w:themeColor="text1"/>
          <w:sz w:val="20"/>
          <w:lang w:val="es"/>
        </w:rPr>
      </w:pPr>
    </w:p>
    <w:p w14:paraId="0A086CFC" w14:textId="45400D9D" w:rsidR="00C42E70" w:rsidRPr="00C42E70" w:rsidRDefault="00C42E70" w:rsidP="00C42E70">
      <w:pPr>
        <w:spacing w:after="0" w:line="240" w:lineRule="auto"/>
        <w:jc w:val="both"/>
        <w:rPr>
          <w:rFonts w:ascii="Arial" w:hAnsi="Arial" w:cs="Arial"/>
          <w:b/>
          <w:bCs/>
          <w:color w:val="000000" w:themeColor="text1"/>
          <w:sz w:val="20"/>
          <w:lang w:val="es"/>
        </w:rPr>
      </w:pPr>
      <w:r>
        <w:rPr>
          <w:rFonts w:ascii="Arial" w:hAnsi="Arial" w:cs="Arial"/>
          <w:b/>
          <w:bCs/>
          <w:color w:val="000000" w:themeColor="text1"/>
          <w:sz w:val="20"/>
          <w:lang w:val="es"/>
        </w:rPr>
        <w:t>Tabla 2</w:t>
      </w:r>
    </w:p>
    <w:p w14:paraId="0049BDD1" w14:textId="77777777" w:rsidR="00C42E70" w:rsidRPr="00C42E70" w:rsidRDefault="00C42E70" w:rsidP="00C42E70">
      <w:pPr>
        <w:spacing w:after="0" w:line="240" w:lineRule="auto"/>
        <w:jc w:val="both"/>
        <w:rPr>
          <w:rFonts w:ascii="Arial" w:hAnsi="Arial" w:cs="Arial"/>
          <w:bCs/>
          <w:i/>
          <w:color w:val="000000" w:themeColor="text1"/>
          <w:sz w:val="20"/>
          <w:lang w:val="es"/>
        </w:rPr>
      </w:pPr>
      <w:r w:rsidRPr="00C42E70">
        <w:rPr>
          <w:rFonts w:ascii="Arial" w:hAnsi="Arial" w:cs="Arial"/>
          <w:bCs/>
          <w:i/>
          <w:color w:val="000000" w:themeColor="text1"/>
          <w:sz w:val="20"/>
          <w:lang w:val="es"/>
        </w:rPr>
        <w:t>Cuadro de hallazgos provenientes de artículos seleccionados</w:t>
      </w:r>
    </w:p>
    <w:p w14:paraId="6D9D5E7B" w14:textId="77777777" w:rsidR="00C42E70" w:rsidRPr="00C42E70" w:rsidRDefault="00C42E70" w:rsidP="00C42E70">
      <w:pPr>
        <w:spacing w:after="0" w:line="240" w:lineRule="auto"/>
        <w:ind w:firstLine="708"/>
        <w:jc w:val="both"/>
        <w:rPr>
          <w:rFonts w:ascii="Arial" w:hAnsi="Arial" w:cs="Arial"/>
          <w:bCs/>
          <w:color w:val="000000" w:themeColor="text1"/>
          <w:sz w:val="20"/>
          <w:lang w:val="es"/>
        </w:rPr>
      </w:pPr>
    </w:p>
    <w:tbl>
      <w:tblPr>
        <w:tblStyle w:val="Tablanormal2"/>
        <w:tblW w:w="5000" w:type="pct"/>
        <w:tblLook w:val="04A0" w:firstRow="1" w:lastRow="0" w:firstColumn="1" w:lastColumn="0" w:noHBand="0" w:noVBand="1"/>
      </w:tblPr>
      <w:tblGrid>
        <w:gridCol w:w="1865"/>
        <w:gridCol w:w="4314"/>
        <w:gridCol w:w="2517"/>
        <w:gridCol w:w="1276"/>
      </w:tblGrid>
      <w:tr w:rsidR="00C42E70" w:rsidRPr="00C42E70" w14:paraId="245F1CB4" w14:textId="77777777" w:rsidTr="00C42E70">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939" w:type="pct"/>
            <w:shd w:val="clear" w:color="auto" w:fill="F2F2F2" w:themeFill="background1" w:themeFillShade="F2"/>
            <w:vAlign w:val="center"/>
            <w:hideMark/>
          </w:tcPr>
          <w:p w14:paraId="14AEFE82" w14:textId="77777777" w:rsidR="00C42E70" w:rsidRPr="00C42E70" w:rsidRDefault="00C42E70" w:rsidP="00C42E70">
            <w:pPr>
              <w:spacing w:after="0" w:line="240" w:lineRule="auto"/>
              <w:jc w:val="center"/>
              <w:rPr>
                <w:rFonts w:ascii="Arial" w:hAnsi="Arial" w:cs="Arial"/>
                <w:color w:val="000000" w:themeColor="text1"/>
                <w:sz w:val="18"/>
                <w:szCs w:val="18"/>
                <w:lang w:val="en-US"/>
              </w:rPr>
            </w:pPr>
            <w:r w:rsidRPr="00C42E70">
              <w:rPr>
                <w:rFonts w:ascii="Arial" w:hAnsi="Arial" w:cs="Arial"/>
                <w:color w:val="000000" w:themeColor="text1"/>
                <w:sz w:val="18"/>
                <w:szCs w:val="18"/>
                <w:lang w:val="en-US"/>
              </w:rPr>
              <w:t>Autor(es)</w:t>
            </w:r>
          </w:p>
        </w:tc>
        <w:tc>
          <w:tcPr>
            <w:tcW w:w="2167" w:type="pct"/>
            <w:shd w:val="clear" w:color="auto" w:fill="F2F2F2" w:themeFill="background1" w:themeFillShade="F2"/>
            <w:vAlign w:val="center"/>
            <w:hideMark/>
          </w:tcPr>
          <w:p w14:paraId="186689FC" w14:textId="77777777" w:rsidR="00C42E70" w:rsidRPr="00C42E70" w:rsidRDefault="00C42E70" w:rsidP="00C42E70">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val="en-US"/>
              </w:rPr>
            </w:pPr>
            <w:r w:rsidRPr="00C42E70">
              <w:rPr>
                <w:rFonts w:ascii="Arial" w:hAnsi="Arial" w:cs="Arial"/>
                <w:color w:val="000000" w:themeColor="text1"/>
                <w:sz w:val="18"/>
                <w:szCs w:val="18"/>
                <w:lang w:val="en-US"/>
              </w:rPr>
              <w:t>Título</w:t>
            </w:r>
          </w:p>
        </w:tc>
        <w:tc>
          <w:tcPr>
            <w:tcW w:w="1266" w:type="pct"/>
            <w:shd w:val="clear" w:color="auto" w:fill="F2F2F2" w:themeFill="background1" w:themeFillShade="F2"/>
            <w:vAlign w:val="center"/>
            <w:hideMark/>
          </w:tcPr>
          <w:p w14:paraId="30C84A56" w14:textId="77777777" w:rsidR="00C42E70" w:rsidRPr="00C42E70" w:rsidRDefault="00C42E70" w:rsidP="00C42E70">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val="en-US"/>
              </w:rPr>
            </w:pPr>
            <w:r w:rsidRPr="00C42E70">
              <w:rPr>
                <w:rFonts w:ascii="Arial" w:hAnsi="Arial" w:cs="Arial"/>
                <w:color w:val="000000" w:themeColor="text1"/>
                <w:sz w:val="18"/>
                <w:szCs w:val="18"/>
                <w:lang w:val="en-US"/>
              </w:rPr>
              <w:t>Revista</w:t>
            </w:r>
          </w:p>
        </w:tc>
        <w:tc>
          <w:tcPr>
            <w:tcW w:w="628" w:type="pct"/>
            <w:shd w:val="clear" w:color="auto" w:fill="F2F2F2" w:themeFill="background1" w:themeFillShade="F2"/>
            <w:vAlign w:val="center"/>
            <w:hideMark/>
          </w:tcPr>
          <w:p w14:paraId="0ED88B27" w14:textId="77777777" w:rsidR="00C42E70" w:rsidRPr="00C42E70" w:rsidRDefault="00C42E70" w:rsidP="00C42E70">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val="en-US"/>
              </w:rPr>
            </w:pPr>
            <w:r w:rsidRPr="00C42E70">
              <w:rPr>
                <w:rFonts w:ascii="Arial" w:hAnsi="Arial" w:cs="Arial"/>
                <w:color w:val="000000" w:themeColor="text1"/>
                <w:sz w:val="18"/>
                <w:szCs w:val="18"/>
                <w:lang w:val="en-US"/>
              </w:rPr>
              <w:t>Metodología</w:t>
            </w:r>
          </w:p>
        </w:tc>
      </w:tr>
      <w:tr w:rsidR="00C42E70" w:rsidRPr="00C42E70" w14:paraId="7B21CBFD" w14:textId="77777777" w:rsidTr="00C42E70">
        <w:trPr>
          <w:cnfStyle w:val="000000100000" w:firstRow="0" w:lastRow="0" w:firstColumn="0" w:lastColumn="0" w:oddVBand="0" w:evenVBand="0" w:oddHBand="1" w:evenHBand="0" w:firstRowFirstColumn="0" w:firstRowLastColumn="0" w:lastRowFirstColumn="0" w:lastRowLastColumn="0"/>
          <w:trHeight w:val="680"/>
        </w:trPr>
        <w:tc>
          <w:tcPr>
            <w:cnfStyle w:val="001000000000" w:firstRow="0" w:lastRow="0" w:firstColumn="1" w:lastColumn="0" w:oddVBand="0" w:evenVBand="0" w:oddHBand="0" w:evenHBand="0" w:firstRowFirstColumn="0" w:firstRowLastColumn="0" w:lastRowFirstColumn="0" w:lastRowLastColumn="0"/>
            <w:tcW w:w="939" w:type="pct"/>
            <w:vAlign w:val="center"/>
            <w:hideMark/>
          </w:tcPr>
          <w:p w14:paraId="6FDCEE71" w14:textId="77777777" w:rsidR="00C42E70" w:rsidRPr="00C42E70" w:rsidRDefault="00C42E70" w:rsidP="00C42E70">
            <w:pPr>
              <w:spacing w:after="0" w:line="240" w:lineRule="auto"/>
              <w:jc w:val="center"/>
              <w:rPr>
                <w:rFonts w:ascii="Arial" w:hAnsi="Arial" w:cs="Arial"/>
                <w:b w:val="0"/>
                <w:color w:val="000000" w:themeColor="text1"/>
                <w:sz w:val="18"/>
                <w:szCs w:val="18"/>
                <w:lang w:val="en-US"/>
              </w:rPr>
            </w:pPr>
            <w:r w:rsidRPr="00C42E70">
              <w:rPr>
                <w:rFonts w:ascii="Arial" w:hAnsi="Arial" w:cs="Arial"/>
                <w:b w:val="0"/>
                <w:color w:val="000000" w:themeColor="text1"/>
                <w:sz w:val="18"/>
                <w:szCs w:val="18"/>
                <w:lang w:val="en-US"/>
              </w:rPr>
              <w:t>Alqooti (2020)</w:t>
            </w:r>
          </w:p>
        </w:tc>
        <w:tc>
          <w:tcPr>
            <w:tcW w:w="2167" w:type="pct"/>
            <w:vAlign w:val="center"/>
            <w:hideMark/>
          </w:tcPr>
          <w:p w14:paraId="09B46914" w14:textId="40119ED0" w:rsidR="00C42E70" w:rsidRPr="00C42E70" w:rsidRDefault="00C42E70" w:rsidP="00C42E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 xml:space="preserve">Public </w:t>
            </w:r>
            <w:r w:rsidR="00A62DA3" w:rsidRPr="00C42E70">
              <w:rPr>
                <w:rFonts w:ascii="Arial" w:hAnsi="Arial" w:cs="Arial"/>
                <w:bCs/>
                <w:color w:val="000000" w:themeColor="text1"/>
                <w:sz w:val="18"/>
                <w:szCs w:val="18"/>
                <w:lang w:val="en-US"/>
              </w:rPr>
              <w:t>governance in the public sector</w:t>
            </w:r>
            <w:r w:rsidRPr="00C42E70">
              <w:rPr>
                <w:rFonts w:ascii="Arial" w:hAnsi="Arial" w:cs="Arial"/>
                <w:bCs/>
                <w:color w:val="000000" w:themeColor="text1"/>
                <w:sz w:val="18"/>
                <w:szCs w:val="18"/>
                <w:lang w:val="en-US"/>
              </w:rPr>
              <w:t>: Literature review</w:t>
            </w:r>
          </w:p>
        </w:tc>
        <w:tc>
          <w:tcPr>
            <w:tcW w:w="1266" w:type="pct"/>
            <w:vAlign w:val="center"/>
            <w:hideMark/>
          </w:tcPr>
          <w:p w14:paraId="692FD9D6" w14:textId="77777777" w:rsidR="00C42E70" w:rsidRPr="00C42E70" w:rsidRDefault="00C42E70" w:rsidP="00C42E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International Journal of Business Ethics and Governance (IJBEG)</w:t>
            </w:r>
          </w:p>
        </w:tc>
        <w:tc>
          <w:tcPr>
            <w:tcW w:w="628" w:type="pct"/>
            <w:vAlign w:val="center"/>
            <w:hideMark/>
          </w:tcPr>
          <w:p w14:paraId="6BC4E212" w14:textId="77777777" w:rsidR="00C42E70" w:rsidRPr="00C42E70" w:rsidRDefault="00C42E70" w:rsidP="00C42E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Cualitativa</w:t>
            </w:r>
          </w:p>
        </w:tc>
      </w:tr>
      <w:tr w:rsidR="00C42E70" w:rsidRPr="00C42E70" w14:paraId="4B149369" w14:textId="77777777" w:rsidTr="00C42E70">
        <w:trPr>
          <w:trHeight w:val="510"/>
        </w:trPr>
        <w:tc>
          <w:tcPr>
            <w:cnfStyle w:val="001000000000" w:firstRow="0" w:lastRow="0" w:firstColumn="1" w:lastColumn="0" w:oddVBand="0" w:evenVBand="0" w:oddHBand="0" w:evenHBand="0" w:firstRowFirstColumn="0" w:firstRowLastColumn="0" w:lastRowFirstColumn="0" w:lastRowLastColumn="0"/>
            <w:tcW w:w="939" w:type="pct"/>
            <w:shd w:val="clear" w:color="auto" w:fill="F2F2F2" w:themeFill="background1" w:themeFillShade="F2"/>
            <w:vAlign w:val="center"/>
            <w:hideMark/>
          </w:tcPr>
          <w:p w14:paraId="5A9BA810" w14:textId="77777777" w:rsidR="00C42E70" w:rsidRPr="00C42E70" w:rsidRDefault="00C42E70" w:rsidP="00C42E70">
            <w:pPr>
              <w:spacing w:after="0" w:line="240" w:lineRule="auto"/>
              <w:jc w:val="center"/>
              <w:rPr>
                <w:rFonts w:ascii="Arial" w:hAnsi="Arial" w:cs="Arial"/>
                <w:b w:val="0"/>
                <w:color w:val="000000" w:themeColor="text1"/>
                <w:sz w:val="18"/>
                <w:szCs w:val="18"/>
                <w:lang w:val="en-US"/>
              </w:rPr>
            </w:pPr>
            <w:r w:rsidRPr="00C42E70">
              <w:rPr>
                <w:rFonts w:ascii="Arial" w:hAnsi="Arial" w:cs="Arial"/>
                <w:b w:val="0"/>
                <w:color w:val="000000" w:themeColor="text1"/>
                <w:sz w:val="18"/>
                <w:szCs w:val="18"/>
                <w:lang w:val="en-US"/>
              </w:rPr>
              <w:t>Bason &amp; Austin (2021)</w:t>
            </w:r>
          </w:p>
        </w:tc>
        <w:tc>
          <w:tcPr>
            <w:tcW w:w="2167" w:type="pct"/>
            <w:shd w:val="clear" w:color="auto" w:fill="F2F2F2" w:themeFill="background1" w:themeFillShade="F2"/>
            <w:vAlign w:val="center"/>
            <w:hideMark/>
          </w:tcPr>
          <w:p w14:paraId="208B5118" w14:textId="77777777" w:rsidR="00C42E70" w:rsidRPr="00C42E70" w:rsidRDefault="00C42E70" w:rsidP="00C42E7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Design in the public sector: Toward a human centred model of public governance</w:t>
            </w:r>
          </w:p>
        </w:tc>
        <w:tc>
          <w:tcPr>
            <w:tcW w:w="1266" w:type="pct"/>
            <w:shd w:val="clear" w:color="auto" w:fill="F2F2F2" w:themeFill="background1" w:themeFillShade="F2"/>
            <w:vAlign w:val="center"/>
            <w:hideMark/>
          </w:tcPr>
          <w:p w14:paraId="1BB2D30C" w14:textId="77777777" w:rsidR="00C42E70" w:rsidRPr="00C42E70" w:rsidRDefault="00C42E70" w:rsidP="00C42E7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Public Management Review</w:t>
            </w:r>
          </w:p>
        </w:tc>
        <w:tc>
          <w:tcPr>
            <w:tcW w:w="628" w:type="pct"/>
            <w:shd w:val="clear" w:color="auto" w:fill="F2F2F2" w:themeFill="background1" w:themeFillShade="F2"/>
            <w:vAlign w:val="center"/>
            <w:hideMark/>
          </w:tcPr>
          <w:p w14:paraId="36573838" w14:textId="77777777" w:rsidR="00C42E70" w:rsidRPr="00C42E70" w:rsidRDefault="00C42E70" w:rsidP="00C42E7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Cualitativa</w:t>
            </w:r>
          </w:p>
        </w:tc>
      </w:tr>
      <w:tr w:rsidR="00C42E70" w:rsidRPr="00C42E70" w14:paraId="09DFD6FB" w14:textId="77777777" w:rsidTr="00C42E70">
        <w:trPr>
          <w:cnfStyle w:val="000000100000" w:firstRow="0" w:lastRow="0" w:firstColumn="0" w:lastColumn="0" w:oddVBand="0" w:evenVBand="0" w:oddHBand="1" w:evenHBand="0" w:firstRowFirstColumn="0" w:firstRowLastColumn="0" w:lastRowFirstColumn="0" w:lastRowLastColumn="0"/>
          <w:trHeight w:val="700"/>
        </w:trPr>
        <w:tc>
          <w:tcPr>
            <w:cnfStyle w:val="001000000000" w:firstRow="0" w:lastRow="0" w:firstColumn="1" w:lastColumn="0" w:oddVBand="0" w:evenVBand="0" w:oddHBand="0" w:evenHBand="0" w:firstRowFirstColumn="0" w:firstRowLastColumn="0" w:lastRowFirstColumn="0" w:lastRowLastColumn="0"/>
            <w:tcW w:w="939" w:type="pct"/>
            <w:vAlign w:val="center"/>
            <w:hideMark/>
          </w:tcPr>
          <w:p w14:paraId="6F67FF87" w14:textId="77777777" w:rsidR="00C42E70" w:rsidRPr="00C42E70" w:rsidRDefault="00C42E70" w:rsidP="00C42E70">
            <w:pPr>
              <w:spacing w:after="0" w:line="240" w:lineRule="auto"/>
              <w:jc w:val="center"/>
              <w:rPr>
                <w:rFonts w:ascii="Arial" w:hAnsi="Arial" w:cs="Arial"/>
                <w:b w:val="0"/>
                <w:color w:val="000000" w:themeColor="text1"/>
                <w:sz w:val="18"/>
                <w:szCs w:val="18"/>
                <w:lang w:val="en-US"/>
              </w:rPr>
            </w:pPr>
            <w:r w:rsidRPr="00C42E70">
              <w:rPr>
                <w:rFonts w:ascii="Arial" w:hAnsi="Arial" w:cs="Arial"/>
                <w:b w:val="0"/>
                <w:color w:val="000000" w:themeColor="text1"/>
                <w:sz w:val="18"/>
                <w:szCs w:val="18"/>
                <w:lang w:val="en-US"/>
              </w:rPr>
              <w:t>Blanco, A. (2024)</w:t>
            </w:r>
          </w:p>
        </w:tc>
        <w:tc>
          <w:tcPr>
            <w:tcW w:w="2167" w:type="pct"/>
            <w:vAlign w:val="center"/>
            <w:hideMark/>
          </w:tcPr>
          <w:p w14:paraId="03C2DCD3" w14:textId="77777777" w:rsidR="00C42E70" w:rsidRPr="00C42E70" w:rsidRDefault="00C42E70" w:rsidP="00C42E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val="es-MX"/>
              </w:rPr>
            </w:pPr>
            <w:r w:rsidRPr="00C42E70">
              <w:rPr>
                <w:rFonts w:ascii="Arial" w:hAnsi="Arial" w:cs="Arial"/>
                <w:bCs/>
                <w:color w:val="000000" w:themeColor="text1"/>
                <w:sz w:val="18"/>
                <w:szCs w:val="18"/>
                <w:lang w:val="es-MX"/>
              </w:rPr>
              <w:t>Administración pública y gobernanza en Colombia: aportes para una gestión transparente en clave dialéctica</w:t>
            </w:r>
          </w:p>
        </w:tc>
        <w:tc>
          <w:tcPr>
            <w:tcW w:w="1266" w:type="pct"/>
            <w:vAlign w:val="center"/>
            <w:hideMark/>
          </w:tcPr>
          <w:p w14:paraId="659E4B04" w14:textId="77777777" w:rsidR="00C42E70" w:rsidRPr="00C42E70" w:rsidRDefault="00C42E70" w:rsidP="00C42E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Administración &amp; Desarrollo</w:t>
            </w:r>
          </w:p>
        </w:tc>
        <w:tc>
          <w:tcPr>
            <w:tcW w:w="628" w:type="pct"/>
            <w:vAlign w:val="center"/>
            <w:hideMark/>
          </w:tcPr>
          <w:p w14:paraId="04B0B36C" w14:textId="77777777" w:rsidR="00C42E70" w:rsidRPr="00C42E70" w:rsidRDefault="00C42E70" w:rsidP="00C42E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Cualitativa</w:t>
            </w:r>
          </w:p>
        </w:tc>
      </w:tr>
      <w:tr w:rsidR="00C42E70" w:rsidRPr="00C42E70" w14:paraId="3B660DC7" w14:textId="77777777" w:rsidTr="00C42E70">
        <w:trPr>
          <w:trHeight w:val="696"/>
        </w:trPr>
        <w:tc>
          <w:tcPr>
            <w:cnfStyle w:val="001000000000" w:firstRow="0" w:lastRow="0" w:firstColumn="1" w:lastColumn="0" w:oddVBand="0" w:evenVBand="0" w:oddHBand="0" w:evenHBand="0" w:firstRowFirstColumn="0" w:firstRowLastColumn="0" w:lastRowFirstColumn="0" w:lastRowLastColumn="0"/>
            <w:tcW w:w="939" w:type="pct"/>
            <w:shd w:val="clear" w:color="auto" w:fill="F2F2F2" w:themeFill="background1" w:themeFillShade="F2"/>
            <w:vAlign w:val="center"/>
            <w:hideMark/>
          </w:tcPr>
          <w:p w14:paraId="6B471D1E" w14:textId="77777777" w:rsidR="00C42E70" w:rsidRPr="00C42E70" w:rsidRDefault="00C42E70" w:rsidP="00C42E70">
            <w:pPr>
              <w:spacing w:after="0" w:line="240" w:lineRule="auto"/>
              <w:jc w:val="center"/>
              <w:rPr>
                <w:rFonts w:ascii="Arial" w:hAnsi="Arial" w:cs="Arial"/>
                <w:b w:val="0"/>
                <w:color w:val="000000" w:themeColor="text1"/>
                <w:sz w:val="18"/>
                <w:szCs w:val="18"/>
                <w:lang w:val="en-US"/>
              </w:rPr>
            </w:pPr>
            <w:r w:rsidRPr="00C42E70">
              <w:rPr>
                <w:rFonts w:ascii="Arial" w:hAnsi="Arial" w:cs="Arial"/>
                <w:b w:val="0"/>
                <w:color w:val="000000" w:themeColor="text1"/>
                <w:sz w:val="18"/>
                <w:szCs w:val="18"/>
                <w:lang w:val="en-US"/>
              </w:rPr>
              <w:t>Cárdenas et al. (2020)</w:t>
            </w:r>
          </w:p>
        </w:tc>
        <w:tc>
          <w:tcPr>
            <w:tcW w:w="2167" w:type="pct"/>
            <w:shd w:val="clear" w:color="auto" w:fill="F2F2F2" w:themeFill="background1" w:themeFillShade="F2"/>
            <w:vAlign w:val="center"/>
            <w:hideMark/>
          </w:tcPr>
          <w:p w14:paraId="2235021C" w14:textId="77777777" w:rsidR="00C42E70" w:rsidRPr="00C42E70" w:rsidRDefault="00C42E70" w:rsidP="00C42E7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val="es-MX"/>
              </w:rPr>
            </w:pPr>
            <w:r w:rsidRPr="00C42E70">
              <w:rPr>
                <w:rFonts w:ascii="Arial" w:hAnsi="Arial" w:cs="Arial"/>
                <w:bCs/>
                <w:color w:val="000000" w:themeColor="text1"/>
                <w:sz w:val="18"/>
                <w:szCs w:val="18"/>
                <w:lang w:val="es-MX"/>
              </w:rPr>
              <w:t>Nueva gestión pública y gobernanza: una comparación de dos paradigmas para hacer frente a problemas complejos modernos</w:t>
            </w:r>
          </w:p>
        </w:tc>
        <w:tc>
          <w:tcPr>
            <w:tcW w:w="1266" w:type="pct"/>
            <w:shd w:val="clear" w:color="auto" w:fill="F2F2F2" w:themeFill="background1" w:themeFillShade="F2"/>
            <w:vAlign w:val="center"/>
            <w:hideMark/>
          </w:tcPr>
          <w:p w14:paraId="669EA989" w14:textId="77777777" w:rsidR="00C42E70" w:rsidRPr="00C42E70" w:rsidRDefault="00C42E70" w:rsidP="00C42E7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Ciencia y Educación</w:t>
            </w:r>
          </w:p>
        </w:tc>
        <w:tc>
          <w:tcPr>
            <w:tcW w:w="628" w:type="pct"/>
            <w:shd w:val="clear" w:color="auto" w:fill="F2F2F2" w:themeFill="background1" w:themeFillShade="F2"/>
            <w:vAlign w:val="center"/>
            <w:hideMark/>
          </w:tcPr>
          <w:p w14:paraId="6FDAE3E7" w14:textId="77777777" w:rsidR="00C42E70" w:rsidRPr="00C42E70" w:rsidRDefault="00C42E70" w:rsidP="00C42E7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Cualitativa</w:t>
            </w:r>
          </w:p>
        </w:tc>
      </w:tr>
      <w:tr w:rsidR="00C42E70" w:rsidRPr="00C42E70" w14:paraId="5BF0611C" w14:textId="77777777" w:rsidTr="00A62DA3">
        <w:trPr>
          <w:cnfStyle w:val="000000100000" w:firstRow="0" w:lastRow="0" w:firstColumn="0" w:lastColumn="0" w:oddVBand="0" w:evenVBand="0" w:oddHBand="1" w:evenHBand="0" w:firstRowFirstColumn="0" w:firstRowLastColumn="0" w:lastRowFirstColumn="0" w:lastRowLastColumn="0"/>
          <w:trHeight w:val="706"/>
        </w:trPr>
        <w:tc>
          <w:tcPr>
            <w:cnfStyle w:val="001000000000" w:firstRow="0" w:lastRow="0" w:firstColumn="1" w:lastColumn="0" w:oddVBand="0" w:evenVBand="0" w:oddHBand="0" w:evenHBand="0" w:firstRowFirstColumn="0" w:firstRowLastColumn="0" w:lastRowFirstColumn="0" w:lastRowLastColumn="0"/>
            <w:tcW w:w="939" w:type="pct"/>
            <w:vAlign w:val="center"/>
            <w:hideMark/>
          </w:tcPr>
          <w:p w14:paraId="552B64AE" w14:textId="77777777" w:rsidR="00C42E70" w:rsidRPr="00C42E70" w:rsidRDefault="00C42E70" w:rsidP="00C42E70">
            <w:pPr>
              <w:spacing w:after="0" w:line="240" w:lineRule="auto"/>
              <w:jc w:val="center"/>
              <w:rPr>
                <w:rFonts w:ascii="Arial" w:hAnsi="Arial" w:cs="Arial"/>
                <w:b w:val="0"/>
                <w:color w:val="000000" w:themeColor="text1"/>
                <w:sz w:val="18"/>
                <w:szCs w:val="18"/>
                <w:lang w:val="en-US"/>
              </w:rPr>
            </w:pPr>
            <w:r w:rsidRPr="00C42E70">
              <w:rPr>
                <w:rFonts w:ascii="Arial" w:hAnsi="Arial" w:cs="Arial"/>
                <w:b w:val="0"/>
                <w:color w:val="000000" w:themeColor="text1"/>
                <w:sz w:val="18"/>
                <w:szCs w:val="18"/>
                <w:lang w:val="en-US"/>
              </w:rPr>
              <w:t>Dandan, J. (2024)</w:t>
            </w:r>
          </w:p>
        </w:tc>
        <w:tc>
          <w:tcPr>
            <w:tcW w:w="2167" w:type="pct"/>
            <w:vAlign w:val="center"/>
            <w:hideMark/>
          </w:tcPr>
          <w:p w14:paraId="7CC25BCC" w14:textId="69D6600B" w:rsidR="00C42E70" w:rsidRPr="00C42E70" w:rsidRDefault="00A62DA3" w:rsidP="00C42E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val="en-US"/>
              </w:rPr>
            </w:pPr>
            <w:r>
              <w:rPr>
                <w:rFonts w:ascii="Arial" w:hAnsi="Arial" w:cs="Arial"/>
                <w:bCs/>
                <w:color w:val="000000" w:themeColor="text1"/>
                <w:sz w:val="18"/>
                <w:szCs w:val="18"/>
                <w:lang w:val="en-US"/>
              </w:rPr>
              <w:t>T</w:t>
            </w:r>
            <w:r w:rsidRPr="00C42E70">
              <w:rPr>
                <w:rFonts w:ascii="Arial" w:hAnsi="Arial" w:cs="Arial"/>
                <w:bCs/>
                <w:color w:val="000000" w:themeColor="text1"/>
                <w:sz w:val="18"/>
                <w:szCs w:val="18"/>
                <w:lang w:val="en-US"/>
              </w:rPr>
              <w:t>he challenges and opportunities of public governance in the digital era</w:t>
            </w:r>
          </w:p>
        </w:tc>
        <w:tc>
          <w:tcPr>
            <w:tcW w:w="1266" w:type="pct"/>
            <w:vAlign w:val="center"/>
            <w:hideMark/>
          </w:tcPr>
          <w:p w14:paraId="4748933A" w14:textId="77777777" w:rsidR="00C42E70" w:rsidRPr="00C42E70" w:rsidRDefault="00C42E70" w:rsidP="00C42E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International Journal of Social Sciences and Public Administration</w:t>
            </w:r>
          </w:p>
        </w:tc>
        <w:tc>
          <w:tcPr>
            <w:tcW w:w="628" w:type="pct"/>
            <w:vAlign w:val="center"/>
            <w:hideMark/>
          </w:tcPr>
          <w:p w14:paraId="4644E41F" w14:textId="77777777" w:rsidR="00C42E70" w:rsidRPr="00C42E70" w:rsidRDefault="00C42E70" w:rsidP="00C42E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Cualitativa</w:t>
            </w:r>
          </w:p>
        </w:tc>
      </w:tr>
      <w:tr w:rsidR="00C42E70" w:rsidRPr="00C42E70" w14:paraId="703EF293" w14:textId="77777777" w:rsidTr="00A62DA3">
        <w:trPr>
          <w:trHeight w:val="547"/>
        </w:trPr>
        <w:tc>
          <w:tcPr>
            <w:cnfStyle w:val="001000000000" w:firstRow="0" w:lastRow="0" w:firstColumn="1" w:lastColumn="0" w:oddVBand="0" w:evenVBand="0" w:oddHBand="0" w:evenHBand="0" w:firstRowFirstColumn="0" w:firstRowLastColumn="0" w:lastRowFirstColumn="0" w:lastRowLastColumn="0"/>
            <w:tcW w:w="939" w:type="pct"/>
            <w:shd w:val="clear" w:color="auto" w:fill="F2F2F2" w:themeFill="background1" w:themeFillShade="F2"/>
            <w:vAlign w:val="center"/>
            <w:hideMark/>
          </w:tcPr>
          <w:p w14:paraId="2FCA65EF" w14:textId="77777777" w:rsidR="00C42E70" w:rsidRPr="00C42E70" w:rsidRDefault="00C42E70" w:rsidP="00C42E70">
            <w:pPr>
              <w:spacing w:after="0" w:line="240" w:lineRule="auto"/>
              <w:jc w:val="center"/>
              <w:rPr>
                <w:rFonts w:ascii="Arial" w:hAnsi="Arial" w:cs="Arial"/>
                <w:b w:val="0"/>
                <w:color w:val="000000" w:themeColor="text1"/>
                <w:sz w:val="18"/>
                <w:szCs w:val="18"/>
                <w:lang w:val="en-US"/>
              </w:rPr>
            </w:pPr>
            <w:r w:rsidRPr="00C42E70">
              <w:rPr>
                <w:rFonts w:ascii="Arial" w:hAnsi="Arial" w:cs="Arial"/>
                <w:b w:val="0"/>
                <w:color w:val="000000" w:themeColor="text1"/>
                <w:sz w:val="18"/>
                <w:szCs w:val="18"/>
                <w:lang w:val="en-US"/>
              </w:rPr>
              <w:t>Falcão et al. (2017)</w:t>
            </w:r>
          </w:p>
        </w:tc>
        <w:tc>
          <w:tcPr>
            <w:tcW w:w="2167" w:type="pct"/>
            <w:shd w:val="clear" w:color="auto" w:fill="F2F2F2" w:themeFill="background1" w:themeFillShade="F2"/>
            <w:vAlign w:val="center"/>
            <w:hideMark/>
          </w:tcPr>
          <w:p w14:paraId="02B557D9" w14:textId="77777777" w:rsidR="00C42E70" w:rsidRPr="00C42E70" w:rsidRDefault="00C42E70" w:rsidP="00C42E7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Business models in the public domain: the public governance canvas</w:t>
            </w:r>
          </w:p>
        </w:tc>
        <w:tc>
          <w:tcPr>
            <w:tcW w:w="1266" w:type="pct"/>
            <w:shd w:val="clear" w:color="auto" w:fill="F2F2F2" w:themeFill="background1" w:themeFillShade="F2"/>
            <w:vAlign w:val="center"/>
            <w:hideMark/>
          </w:tcPr>
          <w:p w14:paraId="01F7C108" w14:textId="77777777" w:rsidR="00C42E70" w:rsidRPr="00C42E70" w:rsidRDefault="00C42E70" w:rsidP="00C42E7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Cuadernos EBAPE.BR</w:t>
            </w:r>
          </w:p>
        </w:tc>
        <w:tc>
          <w:tcPr>
            <w:tcW w:w="628" w:type="pct"/>
            <w:shd w:val="clear" w:color="auto" w:fill="F2F2F2" w:themeFill="background1" w:themeFillShade="F2"/>
            <w:vAlign w:val="center"/>
            <w:hideMark/>
          </w:tcPr>
          <w:p w14:paraId="18B4EEEE" w14:textId="77777777" w:rsidR="00C42E70" w:rsidRPr="00C42E70" w:rsidRDefault="00C42E70" w:rsidP="00C42E7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Cualitativa</w:t>
            </w:r>
          </w:p>
        </w:tc>
      </w:tr>
      <w:tr w:rsidR="00C42E70" w:rsidRPr="00C42E70" w14:paraId="555484A2" w14:textId="77777777" w:rsidTr="00A62DA3">
        <w:trPr>
          <w:cnfStyle w:val="000000100000" w:firstRow="0" w:lastRow="0" w:firstColumn="0" w:lastColumn="0" w:oddVBand="0" w:evenVBand="0" w:oddHBand="1" w:evenHBand="0" w:firstRowFirstColumn="0" w:firstRowLastColumn="0" w:lastRowFirstColumn="0" w:lastRowLastColumn="0"/>
          <w:trHeight w:val="569"/>
        </w:trPr>
        <w:tc>
          <w:tcPr>
            <w:cnfStyle w:val="001000000000" w:firstRow="0" w:lastRow="0" w:firstColumn="1" w:lastColumn="0" w:oddVBand="0" w:evenVBand="0" w:oddHBand="0" w:evenHBand="0" w:firstRowFirstColumn="0" w:firstRowLastColumn="0" w:lastRowFirstColumn="0" w:lastRowLastColumn="0"/>
            <w:tcW w:w="939" w:type="pct"/>
            <w:vAlign w:val="center"/>
            <w:hideMark/>
          </w:tcPr>
          <w:p w14:paraId="39ECECFB" w14:textId="77777777" w:rsidR="00C42E70" w:rsidRPr="00C42E70" w:rsidRDefault="00C42E70" w:rsidP="00C42E70">
            <w:pPr>
              <w:spacing w:after="0" w:line="240" w:lineRule="auto"/>
              <w:jc w:val="center"/>
              <w:rPr>
                <w:rFonts w:ascii="Arial" w:hAnsi="Arial" w:cs="Arial"/>
                <w:b w:val="0"/>
                <w:color w:val="000000" w:themeColor="text1"/>
                <w:sz w:val="18"/>
                <w:szCs w:val="18"/>
                <w:lang w:val="en-US"/>
              </w:rPr>
            </w:pPr>
            <w:r w:rsidRPr="00C42E70">
              <w:rPr>
                <w:rFonts w:ascii="Arial" w:hAnsi="Arial" w:cs="Arial"/>
                <w:b w:val="0"/>
                <w:color w:val="000000" w:themeColor="text1"/>
                <w:sz w:val="18"/>
                <w:szCs w:val="18"/>
                <w:lang w:val="en-US"/>
              </w:rPr>
              <w:t>Giotitsas et al. (2020)</w:t>
            </w:r>
          </w:p>
        </w:tc>
        <w:tc>
          <w:tcPr>
            <w:tcW w:w="2167" w:type="pct"/>
            <w:vAlign w:val="center"/>
            <w:hideMark/>
          </w:tcPr>
          <w:p w14:paraId="514C1919" w14:textId="77777777" w:rsidR="00C42E70" w:rsidRPr="00C42E70" w:rsidRDefault="00C42E70" w:rsidP="00C42E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From private to public governance: The case for reconfiguring energy systems as a commons</w:t>
            </w:r>
          </w:p>
        </w:tc>
        <w:tc>
          <w:tcPr>
            <w:tcW w:w="1266" w:type="pct"/>
            <w:vAlign w:val="center"/>
            <w:hideMark/>
          </w:tcPr>
          <w:p w14:paraId="6F6BAB99" w14:textId="77777777" w:rsidR="00C42E70" w:rsidRPr="00C42E70" w:rsidRDefault="00C42E70" w:rsidP="00C42E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Energy Research &amp; Social Science</w:t>
            </w:r>
          </w:p>
        </w:tc>
        <w:tc>
          <w:tcPr>
            <w:tcW w:w="628" w:type="pct"/>
            <w:vAlign w:val="center"/>
            <w:hideMark/>
          </w:tcPr>
          <w:p w14:paraId="10A2EC6B" w14:textId="77777777" w:rsidR="00C42E70" w:rsidRPr="00C42E70" w:rsidRDefault="00C42E70" w:rsidP="00C42E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Cualitativa</w:t>
            </w:r>
          </w:p>
        </w:tc>
      </w:tr>
      <w:tr w:rsidR="00C42E70" w:rsidRPr="00C42E70" w14:paraId="2BF19822" w14:textId="77777777" w:rsidTr="00A62DA3">
        <w:trPr>
          <w:trHeight w:val="690"/>
        </w:trPr>
        <w:tc>
          <w:tcPr>
            <w:cnfStyle w:val="001000000000" w:firstRow="0" w:lastRow="0" w:firstColumn="1" w:lastColumn="0" w:oddVBand="0" w:evenVBand="0" w:oddHBand="0" w:evenHBand="0" w:firstRowFirstColumn="0" w:firstRowLastColumn="0" w:lastRowFirstColumn="0" w:lastRowLastColumn="0"/>
            <w:tcW w:w="939" w:type="pct"/>
            <w:shd w:val="clear" w:color="auto" w:fill="F2F2F2" w:themeFill="background1" w:themeFillShade="F2"/>
            <w:vAlign w:val="center"/>
            <w:hideMark/>
          </w:tcPr>
          <w:p w14:paraId="26712ACC" w14:textId="77777777" w:rsidR="00C42E70" w:rsidRPr="00C42E70" w:rsidRDefault="00C42E70" w:rsidP="00C42E70">
            <w:pPr>
              <w:spacing w:after="0" w:line="240" w:lineRule="auto"/>
              <w:jc w:val="center"/>
              <w:rPr>
                <w:rFonts w:ascii="Arial" w:hAnsi="Arial" w:cs="Arial"/>
                <w:b w:val="0"/>
                <w:color w:val="000000" w:themeColor="text1"/>
                <w:sz w:val="18"/>
                <w:szCs w:val="18"/>
                <w:lang w:val="en-US"/>
              </w:rPr>
            </w:pPr>
            <w:r w:rsidRPr="00C42E70">
              <w:rPr>
                <w:rFonts w:ascii="Arial" w:hAnsi="Arial" w:cs="Arial"/>
                <w:b w:val="0"/>
                <w:color w:val="000000" w:themeColor="text1"/>
                <w:sz w:val="18"/>
                <w:szCs w:val="18"/>
                <w:lang w:val="en-US"/>
              </w:rPr>
              <w:t>Iacovino et al. (2017)</w:t>
            </w:r>
          </w:p>
        </w:tc>
        <w:tc>
          <w:tcPr>
            <w:tcW w:w="2167" w:type="pct"/>
            <w:shd w:val="clear" w:color="auto" w:fill="F2F2F2" w:themeFill="background1" w:themeFillShade="F2"/>
            <w:vAlign w:val="center"/>
            <w:hideMark/>
          </w:tcPr>
          <w:p w14:paraId="5E8395D2" w14:textId="2A4FA011" w:rsidR="00C42E70" w:rsidRPr="00C42E70" w:rsidRDefault="00A62DA3" w:rsidP="00A62DA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val="en-US"/>
              </w:rPr>
            </w:pPr>
            <w:r>
              <w:rPr>
                <w:rFonts w:ascii="Arial" w:hAnsi="Arial" w:cs="Arial"/>
                <w:bCs/>
                <w:color w:val="000000" w:themeColor="text1"/>
                <w:sz w:val="18"/>
                <w:szCs w:val="18"/>
                <w:lang w:val="en-US"/>
              </w:rPr>
              <w:t>P</w:t>
            </w:r>
            <w:r w:rsidRPr="00C42E70">
              <w:rPr>
                <w:rFonts w:ascii="Arial" w:hAnsi="Arial" w:cs="Arial"/>
                <w:bCs/>
                <w:color w:val="000000" w:themeColor="text1"/>
                <w:sz w:val="18"/>
                <w:szCs w:val="18"/>
                <w:lang w:val="en-US"/>
              </w:rPr>
              <w:t>ublic organizations between old public administration, new public man</w:t>
            </w:r>
            <w:r>
              <w:rPr>
                <w:rFonts w:ascii="Arial" w:hAnsi="Arial" w:cs="Arial"/>
                <w:bCs/>
                <w:color w:val="000000" w:themeColor="text1"/>
                <w:sz w:val="18"/>
                <w:szCs w:val="18"/>
                <w:lang w:val="en-US"/>
              </w:rPr>
              <w:t>agement and public governance: T</w:t>
            </w:r>
            <w:r w:rsidRPr="00C42E70">
              <w:rPr>
                <w:rFonts w:ascii="Arial" w:hAnsi="Arial" w:cs="Arial"/>
                <w:bCs/>
                <w:color w:val="000000" w:themeColor="text1"/>
                <w:sz w:val="18"/>
                <w:szCs w:val="18"/>
                <w:lang w:val="en-US"/>
              </w:rPr>
              <w:t xml:space="preserve">he case of the </w:t>
            </w:r>
            <w:r>
              <w:rPr>
                <w:rFonts w:ascii="Arial" w:hAnsi="Arial" w:cs="Arial"/>
                <w:bCs/>
                <w:color w:val="000000" w:themeColor="text1"/>
                <w:sz w:val="18"/>
                <w:szCs w:val="18"/>
                <w:lang w:val="en-US"/>
              </w:rPr>
              <w:t>T</w:t>
            </w:r>
            <w:r w:rsidRPr="00C42E70">
              <w:rPr>
                <w:rFonts w:ascii="Arial" w:hAnsi="Arial" w:cs="Arial"/>
                <w:bCs/>
                <w:color w:val="000000" w:themeColor="text1"/>
                <w:sz w:val="18"/>
                <w:szCs w:val="18"/>
                <w:lang w:val="en-US"/>
              </w:rPr>
              <w:t>uscany region</w:t>
            </w:r>
          </w:p>
        </w:tc>
        <w:tc>
          <w:tcPr>
            <w:tcW w:w="1266" w:type="pct"/>
            <w:shd w:val="clear" w:color="auto" w:fill="F2F2F2" w:themeFill="background1" w:themeFillShade="F2"/>
            <w:vAlign w:val="center"/>
            <w:hideMark/>
          </w:tcPr>
          <w:p w14:paraId="79177E97" w14:textId="77777777" w:rsidR="00C42E70" w:rsidRPr="00C42E70" w:rsidRDefault="00C42E70" w:rsidP="00C42E7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Public Organization Review</w:t>
            </w:r>
          </w:p>
        </w:tc>
        <w:tc>
          <w:tcPr>
            <w:tcW w:w="628" w:type="pct"/>
            <w:shd w:val="clear" w:color="auto" w:fill="F2F2F2" w:themeFill="background1" w:themeFillShade="F2"/>
            <w:vAlign w:val="center"/>
            <w:hideMark/>
          </w:tcPr>
          <w:p w14:paraId="156056E0" w14:textId="77777777" w:rsidR="00C42E70" w:rsidRPr="00C42E70" w:rsidRDefault="00C42E70" w:rsidP="00C42E7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Cualitativa</w:t>
            </w:r>
          </w:p>
        </w:tc>
      </w:tr>
      <w:tr w:rsidR="00C42E70" w:rsidRPr="00C42E70" w14:paraId="71EED424" w14:textId="77777777" w:rsidTr="00A62DA3">
        <w:trPr>
          <w:cnfStyle w:val="000000100000" w:firstRow="0" w:lastRow="0" w:firstColumn="0" w:lastColumn="0" w:oddVBand="0" w:evenVBand="0" w:oddHBand="1" w:evenHBand="0" w:firstRowFirstColumn="0" w:firstRowLastColumn="0" w:lastRowFirstColumn="0" w:lastRowLastColumn="0"/>
          <w:trHeight w:val="559"/>
        </w:trPr>
        <w:tc>
          <w:tcPr>
            <w:cnfStyle w:val="001000000000" w:firstRow="0" w:lastRow="0" w:firstColumn="1" w:lastColumn="0" w:oddVBand="0" w:evenVBand="0" w:oddHBand="0" w:evenHBand="0" w:firstRowFirstColumn="0" w:firstRowLastColumn="0" w:lastRowFirstColumn="0" w:lastRowLastColumn="0"/>
            <w:tcW w:w="939" w:type="pct"/>
            <w:vAlign w:val="center"/>
            <w:hideMark/>
          </w:tcPr>
          <w:p w14:paraId="6E661223" w14:textId="77777777" w:rsidR="00C42E70" w:rsidRPr="00C42E70" w:rsidRDefault="00C42E70" w:rsidP="00C42E70">
            <w:pPr>
              <w:spacing w:after="0" w:line="240" w:lineRule="auto"/>
              <w:jc w:val="center"/>
              <w:rPr>
                <w:rFonts w:ascii="Arial" w:hAnsi="Arial" w:cs="Arial"/>
                <w:b w:val="0"/>
                <w:color w:val="000000" w:themeColor="text1"/>
                <w:sz w:val="18"/>
                <w:szCs w:val="18"/>
                <w:lang w:val="en-US"/>
              </w:rPr>
            </w:pPr>
            <w:r w:rsidRPr="00C42E70">
              <w:rPr>
                <w:rFonts w:ascii="Arial" w:hAnsi="Arial" w:cs="Arial"/>
                <w:b w:val="0"/>
                <w:color w:val="000000" w:themeColor="text1"/>
                <w:sz w:val="18"/>
                <w:szCs w:val="18"/>
                <w:lang w:val="en-US"/>
              </w:rPr>
              <w:t>Idzi &amp; Correa (2022)</w:t>
            </w:r>
          </w:p>
        </w:tc>
        <w:tc>
          <w:tcPr>
            <w:tcW w:w="2167" w:type="pct"/>
            <w:vAlign w:val="center"/>
            <w:hideMark/>
          </w:tcPr>
          <w:p w14:paraId="5CD2B4FC" w14:textId="083996E7" w:rsidR="00C42E70" w:rsidRPr="00C42E70" w:rsidRDefault="00C42E70" w:rsidP="00A62DA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 xml:space="preserve">Digital governance: </w:t>
            </w:r>
            <w:r w:rsidR="00A62DA3">
              <w:rPr>
                <w:rFonts w:ascii="Arial" w:hAnsi="Arial" w:cs="Arial"/>
                <w:bCs/>
                <w:color w:val="000000" w:themeColor="text1"/>
                <w:sz w:val="18"/>
                <w:szCs w:val="18"/>
                <w:lang w:val="en-US"/>
              </w:rPr>
              <w:t>G</w:t>
            </w:r>
            <w:r w:rsidRPr="00C42E70">
              <w:rPr>
                <w:rFonts w:ascii="Arial" w:hAnsi="Arial" w:cs="Arial"/>
                <w:bCs/>
                <w:color w:val="000000" w:themeColor="text1"/>
                <w:sz w:val="18"/>
                <w:szCs w:val="18"/>
                <w:lang w:val="en-US"/>
              </w:rPr>
              <w:t>overnment strategies that impact public services</w:t>
            </w:r>
          </w:p>
        </w:tc>
        <w:tc>
          <w:tcPr>
            <w:tcW w:w="1266" w:type="pct"/>
            <w:vAlign w:val="center"/>
            <w:hideMark/>
          </w:tcPr>
          <w:p w14:paraId="1A761385" w14:textId="77777777" w:rsidR="00C42E70" w:rsidRPr="00C42E70" w:rsidRDefault="00C42E70" w:rsidP="00C42E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Global Public Policy and Governance</w:t>
            </w:r>
          </w:p>
        </w:tc>
        <w:tc>
          <w:tcPr>
            <w:tcW w:w="628" w:type="pct"/>
            <w:vAlign w:val="center"/>
            <w:hideMark/>
          </w:tcPr>
          <w:p w14:paraId="3ED7A557" w14:textId="77777777" w:rsidR="00C42E70" w:rsidRPr="00C42E70" w:rsidRDefault="00C42E70" w:rsidP="00C42E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Cualitativa</w:t>
            </w:r>
          </w:p>
        </w:tc>
      </w:tr>
      <w:tr w:rsidR="00C42E70" w:rsidRPr="00C42E70" w14:paraId="663C5936" w14:textId="77777777" w:rsidTr="00A62DA3">
        <w:trPr>
          <w:trHeight w:val="694"/>
        </w:trPr>
        <w:tc>
          <w:tcPr>
            <w:cnfStyle w:val="001000000000" w:firstRow="0" w:lastRow="0" w:firstColumn="1" w:lastColumn="0" w:oddVBand="0" w:evenVBand="0" w:oddHBand="0" w:evenHBand="0" w:firstRowFirstColumn="0" w:firstRowLastColumn="0" w:lastRowFirstColumn="0" w:lastRowLastColumn="0"/>
            <w:tcW w:w="939" w:type="pct"/>
            <w:shd w:val="clear" w:color="auto" w:fill="F2F2F2" w:themeFill="background1" w:themeFillShade="F2"/>
            <w:vAlign w:val="center"/>
            <w:hideMark/>
          </w:tcPr>
          <w:p w14:paraId="724D6B9A" w14:textId="77777777" w:rsidR="00C42E70" w:rsidRPr="00C42E70" w:rsidRDefault="00C42E70" w:rsidP="00C42E70">
            <w:pPr>
              <w:spacing w:after="0" w:line="240" w:lineRule="auto"/>
              <w:jc w:val="center"/>
              <w:rPr>
                <w:rFonts w:ascii="Arial" w:hAnsi="Arial" w:cs="Arial"/>
                <w:b w:val="0"/>
                <w:color w:val="000000" w:themeColor="text1"/>
                <w:sz w:val="18"/>
                <w:szCs w:val="18"/>
                <w:lang w:val="en-US"/>
              </w:rPr>
            </w:pPr>
            <w:r w:rsidRPr="00C42E70">
              <w:rPr>
                <w:rFonts w:ascii="Arial" w:hAnsi="Arial" w:cs="Arial"/>
                <w:b w:val="0"/>
                <w:color w:val="000000" w:themeColor="text1"/>
                <w:sz w:val="18"/>
                <w:szCs w:val="18"/>
                <w:lang w:val="en-US"/>
              </w:rPr>
              <w:t>Jia et al. (2019)</w:t>
            </w:r>
          </w:p>
        </w:tc>
        <w:tc>
          <w:tcPr>
            <w:tcW w:w="2167" w:type="pct"/>
            <w:shd w:val="clear" w:color="auto" w:fill="F2F2F2" w:themeFill="background1" w:themeFillShade="F2"/>
            <w:vAlign w:val="center"/>
            <w:hideMark/>
          </w:tcPr>
          <w:p w14:paraId="1F25DCF9" w14:textId="77777777" w:rsidR="00C42E70" w:rsidRPr="00C42E70" w:rsidRDefault="00C42E70" w:rsidP="00C42E7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Public governance, corporate governance, and firm innovation: An examination of state-owned enterprises</w:t>
            </w:r>
          </w:p>
        </w:tc>
        <w:tc>
          <w:tcPr>
            <w:tcW w:w="1266" w:type="pct"/>
            <w:shd w:val="clear" w:color="auto" w:fill="F2F2F2" w:themeFill="background1" w:themeFillShade="F2"/>
            <w:vAlign w:val="center"/>
            <w:hideMark/>
          </w:tcPr>
          <w:p w14:paraId="0A9AF0D6" w14:textId="77777777" w:rsidR="00C42E70" w:rsidRPr="00C42E70" w:rsidRDefault="00C42E70" w:rsidP="00C42E7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Academy of Management Journal</w:t>
            </w:r>
          </w:p>
        </w:tc>
        <w:tc>
          <w:tcPr>
            <w:tcW w:w="628" w:type="pct"/>
            <w:shd w:val="clear" w:color="auto" w:fill="F2F2F2" w:themeFill="background1" w:themeFillShade="F2"/>
            <w:vAlign w:val="center"/>
            <w:hideMark/>
          </w:tcPr>
          <w:p w14:paraId="7515F3F1" w14:textId="77777777" w:rsidR="00C42E70" w:rsidRPr="00C42E70" w:rsidRDefault="00C42E70" w:rsidP="00C42E7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Mixta</w:t>
            </w:r>
          </w:p>
        </w:tc>
      </w:tr>
      <w:tr w:rsidR="00C42E70" w:rsidRPr="00C42E70" w14:paraId="528D8F75" w14:textId="77777777" w:rsidTr="00A62DA3">
        <w:trPr>
          <w:cnfStyle w:val="000000100000" w:firstRow="0" w:lastRow="0" w:firstColumn="0" w:lastColumn="0" w:oddVBand="0" w:evenVBand="0" w:oddHBand="1" w:evenHBand="0" w:firstRowFirstColumn="0" w:firstRowLastColumn="0" w:lastRowFirstColumn="0" w:lastRowLastColumn="0"/>
          <w:trHeight w:val="562"/>
        </w:trPr>
        <w:tc>
          <w:tcPr>
            <w:cnfStyle w:val="001000000000" w:firstRow="0" w:lastRow="0" w:firstColumn="1" w:lastColumn="0" w:oddVBand="0" w:evenVBand="0" w:oddHBand="0" w:evenHBand="0" w:firstRowFirstColumn="0" w:firstRowLastColumn="0" w:lastRowFirstColumn="0" w:lastRowLastColumn="0"/>
            <w:tcW w:w="939" w:type="pct"/>
            <w:vAlign w:val="center"/>
            <w:hideMark/>
          </w:tcPr>
          <w:p w14:paraId="343765C7" w14:textId="77777777" w:rsidR="00C42E70" w:rsidRPr="00C42E70" w:rsidRDefault="00C42E70" w:rsidP="00C42E70">
            <w:pPr>
              <w:spacing w:after="0" w:line="240" w:lineRule="auto"/>
              <w:jc w:val="center"/>
              <w:rPr>
                <w:rFonts w:ascii="Arial" w:hAnsi="Arial" w:cs="Arial"/>
                <w:b w:val="0"/>
                <w:color w:val="000000" w:themeColor="text1"/>
                <w:sz w:val="18"/>
                <w:szCs w:val="18"/>
                <w:lang w:val="en-US"/>
              </w:rPr>
            </w:pPr>
            <w:r w:rsidRPr="00C42E70">
              <w:rPr>
                <w:rFonts w:ascii="Arial" w:hAnsi="Arial" w:cs="Arial"/>
                <w:b w:val="0"/>
                <w:color w:val="000000" w:themeColor="text1"/>
                <w:sz w:val="18"/>
                <w:szCs w:val="18"/>
                <w:lang w:val="en-US"/>
              </w:rPr>
              <w:t>Longo (2020)</w:t>
            </w:r>
          </w:p>
        </w:tc>
        <w:tc>
          <w:tcPr>
            <w:tcW w:w="2167" w:type="pct"/>
            <w:vAlign w:val="center"/>
            <w:hideMark/>
          </w:tcPr>
          <w:p w14:paraId="4C48521E" w14:textId="77777777" w:rsidR="00C42E70" w:rsidRPr="00C42E70" w:rsidRDefault="00C42E70" w:rsidP="00C42E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val="es-MX"/>
              </w:rPr>
            </w:pPr>
            <w:r w:rsidRPr="00C42E70">
              <w:rPr>
                <w:rFonts w:ascii="Arial" w:hAnsi="Arial" w:cs="Arial"/>
                <w:bCs/>
                <w:color w:val="000000" w:themeColor="text1"/>
                <w:sz w:val="18"/>
                <w:szCs w:val="18"/>
                <w:lang w:val="es-MX"/>
              </w:rPr>
              <w:t>Gobernanza pública para la innovación</w:t>
            </w:r>
          </w:p>
        </w:tc>
        <w:tc>
          <w:tcPr>
            <w:tcW w:w="1266" w:type="pct"/>
            <w:vAlign w:val="center"/>
            <w:hideMark/>
          </w:tcPr>
          <w:p w14:paraId="0D83260A" w14:textId="77777777" w:rsidR="00C42E70" w:rsidRPr="00C42E70" w:rsidRDefault="00C42E70" w:rsidP="00C42E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val="es-MX"/>
              </w:rPr>
            </w:pPr>
            <w:r w:rsidRPr="00C42E70">
              <w:rPr>
                <w:rFonts w:ascii="Arial" w:hAnsi="Arial" w:cs="Arial"/>
                <w:bCs/>
                <w:color w:val="000000" w:themeColor="text1"/>
                <w:sz w:val="18"/>
                <w:szCs w:val="18"/>
                <w:lang w:val="es-MX"/>
              </w:rPr>
              <w:t>Revista del CLAD Reforma y Democracia</w:t>
            </w:r>
          </w:p>
        </w:tc>
        <w:tc>
          <w:tcPr>
            <w:tcW w:w="628" w:type="pct"/>
            <w:vAlign w:val="center"/>
            <w:hideMark/>
          </w:tcPr>
          <w:p w14:paraId="7B56F8A3" w14:textId="77777777" w:rsidR="00C42E70" w:rsidRPr="00C42E70" w:rsidRDefault="00C42E70" w:rsidP="00C42E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Cualitativa</w:t>
            </w:r>
          </w:p>
        </w:tc>
      </w:tr>
      <w:tr w:rsidR="00C42E70" w:rsidRPr="00C42E70" w14:paraId="7E3FC9C3" w14:textId="77777777" w:rsidTr="00A62DA3">
        <w:trPr>
          <w:trHeight w:val="556"/>
        </w:trPr>
        <w:tc>
          <w:tcPr>
            <w:cnfStyle w:val="001000000000" w:firstRow="0" w:lastRow="0" w:firstColumn="1" w:lastColumn="0" w:oddVBand="0" w:evenVBand="0" w:oddHBand="0" w:evenHBand="0" w:firstRowFirstColumn="0" w:firstRowLastColumn="0" w:lastRowFirstColumn="0" w:lastRowLastColumn="0"/>
            <w:tcW w:w="939" w:type="pct"/>
            <w:shd w:val="clear" w:color="auto" w:fill="F2F2F2" w:themeFill="background1" w:themeFillShade="F2"/>
            <w:vAlign w:val="center"/>
            <w:hideMark/>
          </w:tcPr>
          <w:p w14:paraId="1BC55A4A" w14:textId="77777777" w:rsidR="00C42E70" w:rsidRPr="00C42E70" w:rsidRDefault="00C42E70" w:rsidP="00C42E70">
            <w:pPr>
              <w:spacing w:after="0" w:line="240" w:lineRule="auto"/>
              <w:jc w:val="center"/>
              <w:rPr>
                <w:rFonts w:ascii="Arial" w:hAnsi="Arial" w:cs="Arial"/>
                <w:b w:val="0"/>
                <w:color w:val="000000" w:themeColor="text1"/>
                <w:sz w:val="18"/>
                <w:szCs w:val="18"/>
                <w:lang w:val="en-US"/>
              </w:rPr>
            </w:pPr>
            <w:r w:rsidRPr="00C42E70">
              <w:rPr>
                <w:rFonts w:ascii="Arial" w:hAnsi="Arial" w:cs="Arial"/>
                <w:b w:val="0"/>
                <w:color w:val="000000" w:themeColor="text1"/>
                <w:sz w:val="18"/>
                <w:szCs w:val="18"/>
                <w:lang w:val="en-US"/>
              </w:rPr>
              <w:t>Massey &amp; Johnston-Miller (2016)</w:t>
            </w:r>
          </w:p>
        </w:tc>
        <w:tc>
          <w:tcPr>
            <w:tcW w:w="2167" w:type="pct"/>
            <w:shd w:val="clear" w:color="auto" w:fill="F2F2F2" w:themeFill="background1" w:themeFillShade="F2"/>
            <w:vAlign w:val="center"/>
            <w:hideMark/>
          </w:tcPr>
          <w:p w14:paraId="7D259A1A" w14:textId="6DBEBBA4" w:rsidR="00C42E70" w:rsidRPr="00C42E70" w:rsidRDefault="00C42E70" w:rsidP="00A62DA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 xml:space="preserve">Governance: </w:t>
            </w:r>
            <w:r w:rsidR="00A62DA3">
              <w:rPr>
                <w:rFonts w:ascii="Arial" w:hAnsi="Arial" w:cs="Arial"/>
                <w:bCs/>
                <w:color w:val="000000" w:themeColor="text1"/>
                <w:sz w:val="18"/>
                <w:szCs w:val="18"/>
                <w:lang w:val="en-US"/>
              </w:rPr>
              <w:t>P</w:t>
            </w:r>
            <w:r w:rsidRPr="00C42E70">
              <w:rPr>
                <w:rFonts w:ascii="Arial" w:hAnsi="Arial" w:cs="Arial"/>
                <w:bCs/>
                <w:color w:val="000000" w:themeColor="text1"/>
                <w:sz w:val="18"/>
                <w:szCs w:val="18"/>
                <w:lang w:val="en-US"/>
              </w:rPr>
              <w:t>ublic governance to social innovation?</w:t>
            </w:r>
          </w:p>
        </w:tc>
        <w:tc>
          <w:tcPr>
            <w:tcW w:w="1266" w:type="pct"/>
            <w:shd w:val="clear" w:color="auto" w:fill="F2F2F2" w:themeFill="background1" w:themeFillShade="F2"/>
            <w:vAlign w:val="center"/>
            <w:hideMark/>
          </w:tcPr>
          <w:p w14:paraId="2695D3C1" w14:textId="77777777" w:rsidR="00C42E70" w:rsidRPr="00C42E70" w:rsidRDefault="00C42E70" w:rsidP="00C42E7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Policy &amp; Politics</w:t>
            </w:r>
          </w:p>
        </w:tc>
        <w:tc>
          <w:tcPr>
            <w:tcW w:w="628" w:type="pct"/>
            <w:shd w:val="clear" w:color="auto" w:fill="F2F2F2" w:themeFill="background1" w:themeFillShade="F2"/>
            <w:vAlign w:val="center"/>
            <w:hideMark/>
          </w:tcPr>
          <w:p w14:paraId="5CE953C6" w14:textId="77777777" w:rsidR="00C42E70" w:rsidRPr="00C42E70" w:rsidRDefault="00C42E70" w:rsidP="00C42E7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Cualitativa</w:t>
            </w:r>
          </w:p>
        </w:tc>
      </w:tr>
      <w:tr w:rsidR="00C42E70" w:rsidRPr="00C42E70" w14:paraId="58425224" w14:textId="77777777" w:rsidTr="00A62DA3">
        <w:trPr>
          <w:cnfStyle w:val="000000100000" w:firstRow="0" w:lastRow="0" w:firstColumn="0" w:lastColumn="0" w:oddVBand="0" w:evenVBand="0" w:oddHBand="1" w:evenHBand="0" w:firstRowFirstColumn="0" w:firstRowLastColumn="0" w:lastRowFirstColumn="0" w:lastRowLastColumn="0"/>
          <w:trHeight w:val="990"/>
        </w:trPr>
        <w:tc>
          <w:tcPr>
            <w:cnfStyle w:val="001000000000" w:firstRow="0" w:lastRow="0" w:firstColumn="1" w:lastColumn="0" w:oddVBand="0" w:evenVBand="0" w:oddHBand="0" w:evenHBand="0" w:firstRowFirstColumn="0" w:firstRowLastColumn="0" w:lastRowFirstColumn="0" w:lastRowLastColumn="0"/>
            <w:tcW w:w="939" w:type="pct"/>
            <w:vAlign w:val="center"/>
            <w:hideMark/>
          </w:tcPr>
          <w:p w14:paraId="702C4130" w14:textId="77777777" w:rsidR="00C42E70" w:rsidRPr="00C42E70" w:rsidRDefault="00C42E70" w:rsidP="00C42E70">
            <w:pPr>
              <w:spacing w:after="0" w:line="240" w:lineRule="auto"/>
              <w:jc w:val="center"/>
              <w:rPr>
                <w:rFonts w:ascii="Arial" w:hAnsi="Arial" w:cs="Arial"/>
                <w:b w:val="0"/>
                <w:color w:val="000000" w:themeColor="text1"/>
                <w:sz w:val="18"/>
                <w:szCs w:val="18"/>
                <w:lang w:val="en-US"/>
              </w:rPr>
            </w:pPr>
            <w:r w:rsidRPr="00C42E70">
              <w:rPr>
                <w:rFonts w:ascii="Arial" w:hAnsi="Arial" w:cs="Arial"/>
                <w:b w:val="0"/>
                <w:color w:val="000000" w:themeColor="text1"/>
                <w:sz w:val="18"/>
                <w:szCs w:val="18"/>
                <w:lang w:val="en-US"/>
              </w:rPr>
              <w:t>McMullin (2020)</w:t>
            </w:r>
          </w:p>
        </w:tc>
        <w:tc>
          <w:tcPr>
            <w:tcW w:w="2167" w:type="pct"/>
            <w:vAlign w:val="center"/>
            <w:hideMark/>
          </w:tcPr>
          <w:p w14:paraId="6CCDB84F" w14:textId="2C3D6B8E" w:rsidR="00C42E70" w:rsidRPr="00C42E70" w:rsidRDefault="00A62DA3" w:rsidP="00A62DA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val="en-US"/>
              </w:rPr>
            </w:pPr>
            <w:r>
              <w:rPr>
                <w:rFonts w:ascii="Arial" w:hAnsi="Arial" w:cs="Arial"/>
                <w:bCs/>
                <w:color w:val="000000" w:themeColor="text1"/>
                <w:sz w:val="18"/>
                <w:szCs w:val="18"/>
                <w:lang w:val="en-US"/>
              </w:rPr>
              <w:t>C</w:t>
            </w:r>
            <w:r w:rsidRPr="00C42E70">
              <w:rPr>
                <w:rFonts w:ascii="Arial" w:hAnsi="Arial" w:cs="Arial"/>
                <w:bCs/>
                <w:color w:val="000000" w:themeColor="text1"/>
                <w:sz w:val="18"/>
                <w:szCs w:val="18"/>
                <w:lang w:val="en-US"/>
              </w:rPr>
              <w:t xml:space="preserve">hallenging the necessity of new public governance: </w:t>
            </w:r>
            <w:r>
              <w:rPr>
                <w:rFonts w:ascii="Arial" w:hAnsi="Arial" w:cs="Arial"/>
                <w:bCs/>
                <w:color w:val="000000" w:themeColor="text1"/>
                <w:sz w:val="18"/>
                <w:szCs w:val="18"/>
                <w:lang w:val="en-US"/>
              </w:rPr>
              <w:t>C</w:t>
            </w:r>
            <w:r w:rsidRPr="00C42E70">
              <w:rPr>
                <w:rFonts w:ascii="Arial" w:hAnsi="Arial" w:cs="Arial"/>
                <w:bCs/>
                <w:color w:val="000000" w:themeColor="text1"/>
                <w:sz w:val="18"/>
                <w:szCs w:val="18"/>
                <w:lang w:val="en-US"/>
              </w:rPr>
              <w:t>o-production by third sector organizations under different models of public management</w:t>
            </w:r>
          </w:p>
        </w:tc>
        <w:tc>
          <w:tcPr>
            <w:tcW w:w="1266" w:type="pct"/>
            <w:vAlign w:val="center"/>
            <w:hideMark/>
          </w:tcPr>
          <w:p w14:paraId="2B24A1DE" w14:textId="77777777" w:rsidR="00C42E70" w:rsidRPr="00C42E70" w:rsidRDefault="00C42E70" w:rsidP="00C42E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Public Administration</w:t>
            </w:r>
          </w:p>
        </w:tc>
        <w:tc>
          <w:tcPr>
            <w:tcW w:w="628" w:type="pct"/>
            <w:vAlign w:val="center"/>
            <w:hideMark/>
          </w:tcPr>
          <w:p w14:paraId="37627C2B" w14:textId="77777777" w:rsidR="00C42E70" w:rsidRPr="00C42E70" w:rsidRDefault="00C42E70" w:rsidP="00C42E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Cualitativa</w:t>
            </w:r>
          </w:p>
        </w:tc>
      </w:tr>
      <w:tr w:rsidR="00C42E70" w:rsidRPr="00C42E70" w14:paraId="1ED906E4" w14:textId="77777777" w:rsidTr="00A62DA3">
        <w:trPr>
          <w:trHeight w:val="834"/>
        </w:trPr>
        <w:tc>
          <w:tcPr>
            <w:cnfStyle w:val="001000000000" w:firstRow="0" w:lastRow="0" w:firstColumn="1" w:lastColumn="0" w:oddVBand="0" w:evenVBand="0" w:oddHBand="0" w:evenHBand="0" w:firstRowFirstColumn="0" w:firstRowLastColumn="0" w:lastRowFirstColumn="0" w:lastRowLastColumn="0"/>
            <w:tcW w:w="939" w:type="pct"/>
            <w:shd w:val="clear" w:color="auto" w:fill="F2F2F2" w:themeFill="background1" w:themeFillShade="F2"/>
            <w:vAlign w:val="center"/>
            <w:hideMark/>
          </w:tcPr>
          <w:p w14:paraId="035604BA" w14:textId="77777777" w:rsidR="00C42E70" w:rsidRPr="00C42E70" w:rsidRDefault="00C42E70" w:rsidP="00C42E70">
            <w:pPr>
              <w:spacing w:after="0" w:line="240" w:lineRule="auto"/>
              <w:jc w:val="center"/>
              <w:rPr>
                <w:rFonts w:ascii="Arial" w:hAnsi="Arial" w:cs="Arial"/>
                <w:b w:val="0"/>
                <w:color w:val="000000" w:themeColor="text1"/>
                <w:sz w:val="18"/>
                <w:szCs w:val="18"/>
                <w:lang w:val="en-US"/>
              </w:rPr>
            </w:pPr>
            <w:r w:rsidRPr="00C42E70">
              <w:rPr>
                <w:rFonts w:ascii="Arial" w:hAnsi="Arial" w:cs="Arial"/>
                <w:b w:val="0"/>
                <w:color w:val="000000" w:themeColor="text1"/>
                <w:sz w:val="18"/>
                <w:szCs w:val="18"/>
                <w:lang w:val="en-US"/>
              </w:rPr>
              <w:t>Meijer et al. (2019)</w:t>
            </w:r>
          </w:p>
        </w:tc>
        <w:tc>
          <w:tcPr>
            <w:tcW w:w="2167" w:type="pct"/>
            <w:shd w:val="clear" w:color="auto" w:fill="F2F2F2" w:themeFill="background1" w:themeFillShade="F2"/>
            <w:vAlign w:val="center"/>
            <w:hideMark/>
          </w:tcPr>
          <w:p w14:paraId="15FFF84A" w14:textId="08588678" w:rsidR="00C42E70" w:rsidRPr="00C42E70" w:rsidRDefault="00A62DA3" w:rsidP="00A62DA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val="en-US"/>
              </w:rPr>
            </w:pPr>
            <w:r>
              <w:rPr>
                <w:rFonts w:ascii="Arial" w:hAnsi="Arial" w:cs="Arial"/>
                <w:bCs/>
                <w:color w:val="000000" w:themeColor="text1"/>
                <w:sz w:val="18"/>
                <w:szCs w:val="18"/>
                <w:lang w:val="en-US"/>
              </w:rPr>
              <w:t>O</w:t>
            </w:r>
            <w:r w:rsidRPr="00C42E70">
              <w:rPr>
                <w:rFonts w:ascii="Arial" w:hAnsi="Arial" w:cs="Arial"/>
                <w:bCs/>
                <w:color w:val="000000" w:themeColor="text1"/>
                <w:sz w:val="18"/>
                <w:szCs w:val="18"/>
                <w:lang w:val="en-US"/>
              </w:rPr>
              <w:t xml:space="preserve">pen governance: </w:t>
            </w:r>
            <w:r>
              <w:rPr>
                <w:rFonts w:ascii="Arial" w:hAnsi="Arial" w:cs="Arial"/>
                <w:bCs/>
                <w:color w:val="000000" w:themeColor="text1"/>
                <w:sz w:val="18"/>
                <w:szCs w:val="18"/>
                <w:lang w:val="en-US"/>
              </w:rPr>
              <w:t>A</w:t>
            </w:r>
            <w:r w:rsidRPr="00C42E70">
              <w:rPr>
                <w:rFonts w:ascii="Arial" w:hAnsi="Arial" w:cs="Arial"/>
                <w:bCs/>
                <w:color w:val="000000" w:themeColor="text1"/>
                <w:sz w:val="18"/>
                <w:szCs w:val="18"/>
                <w:lang w:val="en-US"/>
              </w:rPr>
              <w:t xml:space="preserve"> new paradigm for understanding urban governance in an information age</w:t>
            </w:r>
          </w:p>
        </w:tc>
        <w:tc>
          <w:tcPr>
            <w:tcW w:w="1266" w:type="pct"/>
            <w:shd w:val="clear" w:color="auto" w:fill="F2F2F2" w:themeFill="background1" w:themeFillShade="F2"/>
            <w:vAlign w:val="center"/>
            <w:hideMark/>
          </w:tcPr>
          <w:p w14:paraId="17E4E283" w14:textId="77777777" w:rsidR="00C42E70" w:rsidRPr="00C42E70" w:rsidRDefault="00C42E70" w:rsidP="00C42E7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Frontiers in Sustainable Cities</w:t>
            </w:r>
          </w:p>
        </w:tc>
        <w:tc>
          <w:tcPr>
            <w:tcW w:w="628" w:type="pct"/>
            <w:shd w:val="clear" w:color="auto" w:fill="F2F2F2" w:themeFill="background1" w:themeFillShade="F2"/>
            <w:vAlign w:val="center"/>
            <w:hideMark/>
          </w:tcPr>
          <w:p w14:paraId="42D274D6" w14:textId="77777777" w:rsidR="00C42E70" w:rsidRPr="00C42E70" w:rsidRDefault="00C42E70" w:rsidP="00C42E7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Cualitativa</w:t>
            </w:r>
          </w:p>
        </w:tc>
      </w:tr>
      <w:tr w:rsidR="00C42E70" w:rsidRPr="00C42E70" w14:paraId="71B07CCC" w14:textId="77777777" w:rsidTr="00A62DA3">
        <w:trPr>
          <w:cnfStyle w:val="000000100000" w:firstRow="0" w:lastRow="0" w:firstColumn="0" w:lastColumn="0" w:oddVBand="0" w:evenVBand="0" w:oddHBand="1" w:evenHBand="0" w:firstRowFirstColumn="0" w:firstRowLastColumn="0" w:lastRowFirstColumn="0" w:lastRowLastColumn="0"/>
          <w:trHeight w:val="552"/>
        </w:trPr>
        <w:tc>
          <w:tcPr>
            <w:cnfStyle w:val="001000000000" w:firstRow="0" w:lastRow="0" w:firstColumn="1" w:lastColumn="0" w:oddVBand="0" w:evenVBand="0" w:oddHBand="0" w:evenHBand="0" w:firstRowFirstColumn="0" w:firstRowLastColumn="0" w:lastRowFirstColumn="0" w:lastRowLastColumn="0"/>
            <w:tcW w:w="939" w:type="pct"/>
            <w:vAlign w:val="center"/>
            <w:hideMark/>
          </w:tcPr>
          <w:p w14:paraId="06EA27CE" w14:textId="77777777" w:rsidR="00C42E70" w:rsidRPr="00C42E70" w:rsidRDefault="00C42E70" w:rsidP="00C42E70">
            <w:pPr>
              <w:spacing w:after="0" w:line="240" w:lineRule="auto"/>
              <w:jc w:val="center"/>
              <w:rPr>
                <w:rFonts w:ascii="Arial" w:hAnsi="Arial" w:cs="Arial"/>
                <w:b w:val="0"/>
                <w:color w:val="000000" w:themeColor="text1"/>
                <w:sz w:val="18"/>
                <w:szCs w:val="18"/>
                <w:lang w:val="en-US"/>
              </w:rPr>
            </w:pPr>
            <w:r w:rsidRPr="00C42E70">
              <w:rPr>
                <w:rFonts w:ascii="Arial" w:hAnsi="Arial" w:cs="Arial"/>
                <w:b w:val="0"/>
                <w:color w:val="000000" w:themeColor="text1"/>
                <w:sz w:val="18"/>
                <w:szCs w:val="18"/>
                <w:lang w:val="en-US"/>
              </w:rPr>
              <w:lastRenderedPageBreak/>
              <w:t>Mendoza et al. (2024)</w:t>
            </w:r>
          </w:p>
        </w:tc>
        <w:tc>
          <w:tcPr>
            <w:tcW w:w="2167" w:type="pct"/>
            <w:vAlign w:val="center"/>
            <w:hideMark/>
          </w:tcPr>
          <w:p w14:paraId="6005CE8B" w14:textId="77777777" w:rsidR="00C42E70" w:rsidRPr="00C42E70" w:rsidRDefault="00C42E70" w:rsidP="00C42E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s-MX"/>
              </w:rPr>
              <w:t xml:space="preserve">La gobernanza y la optimización del gasto público. </w:t>
            </w:r>
            <w:r w:rsidRPr="00C42E70">
              <w:rPr>
                <w:rFonts w:ascii="Arial" w:hAnsi="Arial" w:cs="Arial"/>
                <w:bCs/>
                <w:color w:val="000000" w:themeColor="text1"/>
                <w:sz w:val="18"/>
                <w:szCs w:val="18"/>
                <w:lang w:val="en-US"/>
              </w:rPr>
              <w:t>Una revisión de literatura</w:t>
            </w:r>
          </w:p>
        </w:tc>
        <w:tc>
          <w:tcPr>
            <w:tcW w:w="1266" w:type="pct"/>
            <w:vAlign w:val="center"/>
            <w:hideMark/>
          </w:tcPr>
          <w:p w14:paraId="59D199FD" w14:textId="77777777" w:rsidR="00C42E70" w:rsidRPr="00C42E70" w:rsidRDefault="00C42E70" w:rsidP="00C42E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Suma de Negocios</w:t>
            </w:r>
          </w:p>
        </w:tc>
        <w:tc>
          <w:tcPr>
            <w:tcW w:w="628" w:type="pct"/>
            <w:vAlign w:val="center"/>
            <w:hideMark/>
          </w:tcPr>
          <w:p w14:paraId="590D638A" w14:textId="77777777" w:rsidR="00C42E70" w:rsidRPr="00C42E70" w:rsidRDefault="00C42E70" w:rsidP="00C42E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Cualitativa</w:t>
            </w:r>
          </w:p>
        </w:tc>
      </w:tr>
      <w:tr w:rsidR="00C42E70" w:rsidRPr="00C42E70" w14:paraId="10F53072" w14:textId="77777777" w:rsidTr="00A62DA3">
        <w:trPr>
          <w:trHeight w:val="701"/>
        </w:trPr>
        <w:tc>
          <w:tcPr>
            <w:cnfStyle w:val="001000000000" w:firstRow="0" w:lastRow="0" w:firstColumn="1" w:lastColumn="0" w:oddVBand="0" w:evenVBand="0" w:oddHBand="0" w:evenHBand="0" w:firstRowFirstColumn="0" w:firstRowLastColumn="0" w:lastRowFirstColumn="0" w:lastRowLastColumn="0"/>
            <w:tcW w:w="939" w:type="pct"/>
            <w:shd w:val="clear" w:color="auto" w:fill="F2F2F2" w:themeFill="background1" w:themeFillShade="F2"/>
            <w:vAlign w:val="center"/>
            <w:hideMark/>
          </w:tcPr>
          <w:p w14:paraId="1AB08BE2" w14:textId="77777777" w:rsidR="00C42E70" w:rsidRPr="00C42E70" w:rsidRDefault="00C42E70" w:rsidP="00C42E70">
            <w:pPr>
              <w:spacing w:after="0" w:line="240" w:lineRule="auto"/>
              <w:jc w:val="center"/>
              <w:rPr>
                <w:rFonts w:ascii="Arial" w:hAnsi="Arial" w:cs="Arial"/>
                <w:b w:val="0"/>
                <w:color w:val="000000" w:themeColor="text1"/>
                <w:sz w:val="18"/>
                <w:szCs w:val="18"/>
                <w:lang w:val="en-US"/>
              </w:rPr>
            </w:pPr>
            <w:r w:rsidRPr="00C42E70">
              <w:rPr>
                <w:rFonts w:ascii="Arial" w:hAnsi="Arial" w:cs="Arial"/>
                <w:b w:val="0"/>
                <w:color w:val="000000" w:themeColor="text1"/>
                <w:sz w:val="18"/>
                <w:szCs w:val="18"/>
                <w:lang w:val="en-US"/>
              </w:rPr>
              <w:t>Mercado-Marrufo &amp; Baylon-Salvador (2024)</w:t>
            </w:r>
          </w:p>
        </w:tc>
        <w:tc>
          <w:tcPr>
            <w:tcW w:w="2167" w:type="pct"/>
            <w:shd w:val="clear" w:color="auto" w:fill="F2F2F2" w:themeFill="background1" w:themeFillShade="F2"/>
            <w:vAlign w:val="center"/>
            <w:hideMark/>
          </w:tcPr>
          <w:p w14:paraId="01F314A1" w14:textId="77777777" w:rsidR="00C42E70" w:rsidRPr="00C42E70" w:rsidRDefault="00C42E70" w:rsidP="00C42E7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val="es-MX"/>
              </w:rPr>
            </w:pPr>
            <w:r w:rsidRPr="00C42E70">
              <w:rPr>
                <w:rFonts w:ascii="Arial" w:hAnsi="Arial" w:cs="Arial"/>
                <w:bCs/>
                <w:color w:val="000000" w:themeColor="text1"/>
                <w:sz w:val="18"/>
                <w:szCs w:val="18"/>
                <w:lang w:val="es-MX"/>
              </w:rPr>
              <w:t>Hacia una Gobernanza pública inteligente desde la Gobernabilidad</w:t>
            </w:r>
          </w:p>
        </w:tc>
        <w:tc>
          <w:tcPr>
            <w:tcW w:w="1266" w:type="pct"/>
            <w:shd w:val="clear" w:color="auto" w:fill="F2F2F2" w:themeFill="background1" w:themeFillShade="F2"/>
            <w:vAlign w:val="center"/>
            <w:hideMark/>
          </w:tcPr>
          <w:p w14:paraId="656B0874" w14:textId="77777777" w:rsidR="00C42E70" w:rsidRPr="00C42E70" w:rsidRDefault="00C42E70" w:rsidP="00C42E7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European Public &amp; Social Innovation Review</w:t>
            </w:r>
          </w:p>
        </w:tc>
        <w:tc>
          <w:tcPr>
            <w:tcW w:w="628" w:type="pct"/>
            <w:shd w:val="clear" w:color="auto" w:fill="F2F2F2" w:themeFill="background1" w:themeFillShade="F2"/>
            <w:vAlign w:val="center"/>
            <w:hideMark/>
          </w:tcPr>
          <w:p w14:paraId="56302B2D" w14:textId="77777777" w:rsidR="00C42E70" w:rsidRPr="00C42E70" w:rsidRDefault="00C42E70" w:rsidP="00C42E7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Cualitativa</w:t>
            </w:r>
          </w:p>
        </w:tc>
      </w:tr>
      <w:tr w:rsidR="00C42E70" w:rsidRPr="00C42E70" w14:paraId="6393C6DC" w14:textId="77777777" w:rsidTr="00A62DA3">
        <w:trPr>
          <w:cnfStyle w:val="000000100000" w:firstRow="0" w:lastRow="0" w:firstColumn="0" w:lastColumn="0" w:oddVBand="0" w:evenVBand="0" w:oddHBand="1" w:evenHBand="0" w:firstRowFirstColumn="0" w:firstRowLastColumn="0" w:lastRowFirstColumn="0" w:lastRowLastColumn="0"/>
          <w:trHeight w:val="697"/>
        </w:trPr>
        <w:tc>
          <w:tcPr>
            <w:cnfStyle w:val="001000000000" w:firstRow="0" w:lastRow="0" w:firstColumn="1" w:lastColumn="0" w:oddVBand="0" w:evenVBand="0" w:oddHBand="0" w:evenHBand="0" w:firstRowFirstColumn="0" w:firstRowLastColumn="0" w:lastRowFirstColumn="0" w:lastRowLastColumn="0"/>
            <w:tcW w:w="939" w:type="pct"/>
            <w:vAlign w:val="center"/>
            <w:hideMark/>
          </w:tcPr>
          <w:p w14:paraId="295049C0" w14:textId="77777777" w:rsidR="00C42E70" w:rsidRPr="00C42E70" w:rsidRDefault="00C42E70" w:rsidP="00C42E70">
            <w:pPr>
              <w:spacing w:after="0" w:line="240" w:lineRule="auto"/>
              <w:jc w:val="center"/>
              <w:rPr>
                <w:rFonts w:ascii="Arial" w:hAnsi="Arial" w:cs="Arial"/>
                <w:b w:val="0"/>
                <w:color w:val="000000" w:themeColor="text1"/>
                <w:sz w:val="18"/>
                <w:szCs w:val="18"/>
                <w:lang w:val="en-US"/>
              </w:rPr>
            </w:pPr>
            <w:r w:rsidRPr="00C42E70">
              <w:rPr>
                <w:rFonts w:ascii="Arial" w:hAnsi="Arial" w:cs="Arial"/>
                <w:b w:val="0"/>
                <w:color w:val="000000" w:themeColor="text1"/>
                <w:sz w:val="18"/>
                <w:szCs w:val="18"/>
                <w:lang w:val="en-US"/>
              </w:rPr>
              <w:t>Prasad (2024)</w:t>
            </w:r>
          </w:p>
        </w:tc>
        <w:tc>
          <w:tcPr>
            <w:tcW w:w="2167" w:type="pct"/>
            <w:vAlign w:val="center"/>
            <w:hideMark/>
          </w:tcPr>
          <w:p w14:paraId="082A1768" w14:textId="54B87930" w:rsidR="00C42E70" w:rsidRPr="00C42E70" w:rsidRDefault="00A62DA3" w:rsidP="00C42E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val="en-US"/>
              </w:rPr>
            </w:pPr>
            <w:r>
              <w:rPr>
                <w:rFonts w:ascii="Arial" w:hAnsi="Arial" w:cs="Arial"/>
                <w:bCs/>
                <w:color w:val="000000" w:themeColor="text1"/>
                <w:sz w:val="18"/>
                <w:szCs w:val="18"/>
                <w:lang w:val="en-US"/>
              </w:rPr>
              <w:t>E</w:t>
            </w:r>
            <w:r w:rsidRPr="00C42E70">
              <w:rPr>
                <w:rFonts w:ascii="Arial" w:hAnsi="Arial" w:cs="Arial"/>
                <w:bCs/>
                <w:color w:val="000000" w:themeColor="text1"/>
                <w:sz w:val="18"/>
                <w:szCs w:val="18"/>
                <w:lang w:val="en-US"/>
              </w:rPr>
              <w:t>xpanding practices of e-governance system in the contemporary world</w:t>
            </w:r>
          </w:p>
        </w:tc>
        <w:tc>
          <w:tcPr>
            <w:tcW w:w="1266" w:type="pct"/>
            <w:vAlign w:val="center"/>
            <w:hideMark/>
          </w:tcPr>
          <w:p w14:paraId="51D09D4A" w14:textId="77777777" w:rsidR="00C42E70" w:rsidRPr="00C42E70" w:rsidRDefault="00C42E70" w:rsidP="00C42E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Journey for Sustainable Development and Peace Journal</w:t>
            </w:r>
          </w:p>
        </w:tc>
        <w:tc>
          <w:tcPr>
            <w:tcW w:w="628" w:type="pct"/>
            <w:vAlign w:val="center"/>
            <w:hideMark/>
          </w:tcPr>
          <w:p w14:paraId="4B2EF5AD" w14:textId="77777777" w:rsidR="00C42E70" w:rsidRPr="00C42E70" w:rsidRDefault="00C42E70" w:rsidP="00C42E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Cualitativa</w:t>
            </w:r>
          </w:p>
        </w:tc>
      </w:tr>
      <w:tr w:rsidR="00C42E70" w:rsidRPr="00C42E70" w14:paraId="610C32F8" w14:textId="77777777" w:rsidTr="00A62DA3">
        <w:trPr>
          <w:trHeight w:val="706"/>
        </w:trPr>
        <w:tc>
          <w:tcPr>
            <w:cnfStyle w:val="001000000000" w:firstRow="0" w:lastRow="0" w:firstColumn="1" w:lastColumn="0" w:oddVBand="0" w:evenVBand="0" w:oddHBand="0" w:evenHBand="0" w:firstRowFirstColumn="0" w:firstRowLastColumn="0" w:lastRowFirstColumn="0" w:lastRowLastColumn="0"/>
            <w:tcW w:w="939" w:type="pct"/>
            <w:shd w:val="clear" w:color="auto" w:fill="F2F2F2" w:themeFill="background1" w:themeFillShade="F2"/>
            <w:vAlign w:val="center"/>
            <w:hideMark/>
          </w:tcPr>
          <w:p w14:paraId="3740DE08" w14:textId="77777777" w:rsidR="00C42E70" w:rsidRPr="00C42E70" w:rsidRDefault="00C42E70" w:rsidP="00C42E70">
            <w:pPr>
              <w:spacing w:after="0" w:line="240" w:lineRule="auto"/>
              <w:jc w:val="center"/>
              <w:rPr>
                <w:rFonts w:ascii="Arial" w:hAnsi="Arial" w:cs="Arial"/>
                <w:b w:val="0"/>
                <w:color w:val="000000" w:themeColor="text1"/>
                <w:sz w:val="18"/>
                <w:szCs w:val="18"/>
                <w:lang w:val="en-US"/>
              </w:rPr>
            </w:pPr>
            <w:r w:rsidRPr="00C42E70">
              <w:rPr>
                <w:rFonts w:ascii="Arial" w:hAnsi="Arial" w:cs="Arial"/>
                <w:b w:val="0"/>
                <w:color w:val="000000" w:themeColor="text1"/>
                <w:sz w:val="18"/>
                <w:szCs w:val="18"/>
                <w:lang w:val="en-US"/>
              </w:rPr>
              <w:t>Rodríguez (2015)</w:t>
            </w:r>
          </w:p>
        </w:tc>
        <w:tc>
          <w:tcPr>
            <w:tcW w:w="2167" w:type="pct"/>
            <w:shd w:val="clear" w:color="auto" w:fill="F2F2F2" w:themeFill="background1" w:themeFillShade="F2"/>
            <w:vAlign w:val="center"/>
            <w:hideMark/>
          </w:tcPr>
          <w:p w14:paraId="4E92B943" w14:textId="2B2AA32B" w:rsidR="00C42E70" w:rsidRPr="00C42E70" w:rsidRDefault="00C42E70" w:rsidP="00C42E7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 xml:space="preserve">Governance </w:t>
            </w:r>
            <w:r w:rsidR="00A62DA3" w:rsidRPr="00C42E70">
              <w:rPr>
                <w:rFonts w:ascii="Arial" w:hAnsi="Arial" w:cs="Arial"/>
                <w:bCs/>
                <w:color w:val="000000" w:themeColor="text1"/>
                <w:sz w:val="18"/>
                <w:szCs w:val="18"/>
                <w:lang w:val="en-US"/>
              </w:rPr>
              <w:t>models for the delivery of public services through web 2.0 technologies</w:t>
            </w:r>
            <w:r w:rsidRPr="00C42E70">
              <w:rPr>
                <w:rFonts w:ascii="Arial" w:hAnsi="Arial" w:cs="Arial"/>
                <w:bCs/>
                <w:color w:val="000000" w:themeColor="text1"/>
                <w:sz w:val="18"/>
                <w:szCs w:val="18"/>
                <w:lang w:val="en-US"/>
              </w:rPr>
              <w:t xml:space="preserve">: A </w:t>
            </w:r>
            <w:r w:rsidR="00A62DA3" w:rsidRPr="00C42E70">
              <w:rPr>
                <w:rFonts w:ascii="Arial" w:hAnsi="Arial" w:cs="Arial"/>
                <w:bCs/>
                <w:color w:val="000000" w:themeColor="text1"/>
                <w:sz w:val="18"/>
                <w:szCs w:val="18"/>
                <w:lang w:val="en-US"/>
              </w:rPr>
              <w:t>political view in large Spanish municipalities</w:t>
            </w:r>
          </w:p>
        </w:tc>
        <w:tc>
          <w:tcPr>
            <w:tcW w:w="1266" w:type="pct"/>
            <w:shd w:val="clear" w:color="auto" w:fill="F2F2F2" w:themeFill="background1" w:themeFillShade="F2"/>
            <w:vAlign w:val="center"/>
            <w:hideMark/>
          </w:tcPr>
          <w:p w14:paraId="6DDA2FCE" w14:textId="77777777" w:rsidR="00C42E70" w:rsidRPr="00C42E70" w:rsidRDefault="00C42E70" w:rsidP="00C42E7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Social Science Computer Review</w:t>
            </w:r>
          </w:p>
        </w:tc>
        <w:tc>
          <w:tcPr>
            <w:tcW w:w="628" w:type="pct"/>
            <w:shd w:val="clear" w:color="auto" w:fill="F2F2F2" w:themeFill="background1" w:themeFillShade="F2"/>
            <w:vAlign w:val="center"/>
            <w:hideMark/>
          </w:tcPr>
          <w:p w14:paraId="6668E453" w14:textId="77777777" w:rsidR="00C42E70" w:rsidRPr="00C42E70" w:rsidRDefault="00C42E70" w:rsidP="00C42E7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Mixta</w:t>
            </w:r>
          </w:p>
        </w:tc>
      </w:tr>
      <w:tr w:rsidR="00C42E70" w:rsidRPr="00C42E70" w14:paraId="2C176F08" w14:textId="77777777" w:rsidTr="00A62DA3">
        <w:trPr>
          <w:cnfStyle w:val="000000100000" w:firstRow="0" w:lastRow="0" w:firstColumn="0" w:lastColumn="0" w:oddVBand="0" w:evenVBand="0" w:oddHBand="1" w:evenHBand="0" w:firstRowFirstColumn="0" w:firstRowLastColumn="0" w:lastRowFirstColumn="0" w:lastRowLastColumn="0"/>
          <w:trHeight w:val="547"/>
        </w:trPr>
        <w:tc>
          <w:tcPr>
            <w:cnfStyle w:val="001000000000" w:firstRow="0" w:lastRow="0" w:firstColumn="1" w:lastColumn="0" w:oddVBand="0" w:evenVBand="0" w:oddHBand="0" w:evenHBand="0" w:firstRowFirstColumn="0" w:firstRowLastColumn="0" w:lastRowFirstColumn="0" w:lastRowLastColumn="0"/>
            <w:tcW w:w="939" w:type="pct"/>
            <w:vAlign w:val="center"/>
            <w:hideMark/>
          </w:tcPr>
          <w:p w14:paraId="2C0C46BC" w14:textId="77777777" w:rsidR="00C42E70" w:rsidRPr="00C42E70" w:rsidRDefault="00C42E70" w:rsidP="00C42E70">
            <w:pPr>
              <w:spacing w:after="0" w:line="240" w:lineRule="auto"/>
              <w:jc w:val="center"/>
              <w:rPr>
                <w:rFonts w:ascii="Arial" w:hAnsi="Arial" w:cs="Arial"/>
                <w:b w:val="0"/>
                <w:color w:val="000000" w:themeColor="text1"/>
                <w:sz w:val="18"/>
                <w:szCs w:val="18"/>
                <w:lang w:val="en-US"/>
              </w:rPr>
            </w:pPr>
            <w:r w:rsidRPr="00C42E70">
              <w:rPr>
                <w:rFonts w:ascii="Arial" w:hAnsi="Arial" w:cs="Arial"/>
                <w:b w:val="0"/>
                <w:color w:val="000000" w:themeColor="text1"/>
                <w:sz w:val="18"/>
                <w:szCs w:val="18"/>
                <w:lang w:val="en-US"/>
              </w:rPr>
              <w:t>Testi et al. (2025)</w:t>
            </w:r>
          </w:p>
        </w:tc>
        <w:tc>
          <w:tcPr>
            <w:tcW w:w="2167" w:type="pct"/>
            <w:vAlign w:val="center"/>
            <w:hideMark/>
          </w:tcPr>
          <w:p w14:paraId="6E0270B0" w14:textId="77777777" w:rsidR="00C42E70" w:rsidRPr="00C42E70" w:rsidRDefault="00C42E70" w:rsidP="00C42E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Exploring the potential of blockchain technology for citizen engagement in smart governance</w:t>
            </w:r>
          </w:p>
        </w:tc>
        <w:tc>
          <w:tcPr>
            <w:tcW w:w="1266" w:type="pct"/>
            <w:vAlign w:val="center"/>
            <w:hideMark/>
          </w:tcPr>
          <w:p w14:paraId="6EA9FA55" w14:textId="77777777" w:rsidR="00C42E70" w:rsidRPr="00C42E70" w:rsidRDefault="00C42E70" w:rsidP="00C42E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Open Research Europe</w:t>
            </w:r>
          </w:p>
        </w:tc>
        <w:tc>
          <w:tcPr>
            <w:tcW w:w="628" w:type="pct"/>
            <w:vAlign w:val="center"/>
            <w:hideMark/>
          </w:tcPr>
          <w:p w14:paraId="09F58C63" w14:textId="77777777" w:rsidR="00C42E70" w:rsidRPr="00C42E70" w:rsidRDefault="00C42E70" w:rsidP="00C42E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val="en-US"/>
              </w:rPr>
            </w:pPr>
            <w:r w:rsidRPr="00C42E70">
              <w:rPr>
                <w:rFonts w:ascii="Arial" w:hAnsi="Arial" w:cs="Arial"/>
                <w:bCs/>
                <w:color w:val="000000" w:themeColor="text1"/>
                <w:sz w:val="18"/>
                <w:szCs w:val="18"/>
                <w:lang w:val="en-US"/>
              </w:rPr>
              <w:t>Cualitativa</w:t>
            </w:r>
          </w:p>
        </w:tc>
      </w:tr>
    </w:tbl>
    <w:p w14:paraId="1A0B612C" w14:textId="3AC90EFD" w:rsidR="00C42E70" w:rsidRPr="00C42E70" w:rsidRDefault="00C42E70" w:rsidP="00C42E70">
      <w:pPr>
        <w:spacing w:after="0" w:line="240" w:lineRule="auto"/>
        <w:jc w:val="both"/>
        <w:rPr>
          <w:rFonts w:ascii="Arial" w:hAnsi="Arial" w:cs="Arial"/>
          <w:bCs/>
          <w:color w:val="000000" w:themeColor="text1"/>
          <w:sz w:val="20"/>
          <w:lang w:val="es-MX"/>
        </w:rPr>
      </w:pPr>
    </w:p>
    <w:p w14:paraId="254A9840" w14:textId="36407F25" w:rsidR="00A02774" w:rsidRPr="00A02774" w:rsidRDefault="00A02774" w:rsidP="00A02774">
      <w:pPr>
        <w:spacing w:after="0" w:line="240" w:lineRule="auto"/>
        <w:ind w:firstLine="709"/>
        <w:jc w:val="both"/>
        <w:rPr>
          <w:rFonts w:ascii="Arial" w:hAnsi="Arial" w:cs="Arial"/>
          <w:bCs/>
          <w:color w:val="000000" w:themeColor="text1"/>
          <w:sz w:val="20"/>
          <w:lang w:val="es-MX"/>
        </w:rPr>
      </w:pPr>
      <w:r w:rsidRPr="00A02774">
        <w:rPr>
          <w:rFonts w:ascii="Arial" w:hAnsi="Arial" w:cs="Arial"/>
          <w:bCs/>
          <w:color w:val="000000" w:themeColor="text1"/>
          <w:sz w:val="20"/>
          <w:lang w:val="es-MX"/>
        </w:rPr>
        <w:t>En la Figura 2 se presenta la distribución anual de los artículos seleccionados, donde se observa una producción sostenida durante un periodo de diez años. Se identifica una menor cantidad de publicaciones en 2015, 2016, 2021, 2022 y 2025, con un solo artículo en cada uno de estos años.</w:t>
      </w:r>
    </w:p>
    <w:p w14:paraId="39BF8726" w14:textId="67A9BE35" w:rsidR="00A02774" w:rsidRPr="00A02774" w:rsidRDefault="00A02774" w:rsidP="00A02774">
      <w:pPr>
        <w:spacing w:after="0" w:line="240" w:lineRule="auto"/>
        <w:ind w:firstLine="709"/>
        <w:jc w:val="both"/>
        <w:rPr>
          <w:rFonts w:ascii="Arial" w:hAnsi="Arial" w:cs="Arial"/>
          <w:bCs/>
          <w:color w:val="000000" w:themeColor="text1"/>
          <w:sz w:val="20"/>
          <w:lang w:val="es-MX"/>
        </w:rPr>
      </w:pPr>
      <w:r w:rsidRPr="00A02774">
        <w:rPr>
          <w:rFonts w:ascii="Arial" w:hAnsi="Arial" w:cs="Arial"/>
          <w:bCs/>
          <w:color w:val="000000" w:themeColor="text1"/>
          <w:sz w:val="20"/>
          <w:lang w:val="es-MX"/>
        </w:rPr>
        <w:t>Por otro lado, en los años 2017 y 2019 se registraron dos artículos por año, reflejando un interés creciente por la gobernanza en esos periodos. Finalmente, 2020 y 2024 destacan con cinco artículos cada año, evidencia clara de un aumento significativo en la producción académica sobre esta temática. Este crecimiento evidencia un interés creciente y sostenido en la investigación sobre gobernanza pública.</w:t>
      </w:r>
    </w:p>
    <w:p w14:paraId="75F2DBE1" w14:textId="140DCF9E" w:rsidR="00A02774" w:rsidRPr="00A02774" w:rsidRDefault="00A02774" w:rsidP="00A02774">
      <w:pPr>
        <w:spacing w:after="0" w:line="240" w:lineRule="auto"/>
        <w:jc w:val="both"/>
        <w:rPr>
          <w:rFonts w:ascii="Arial" w:hAnsi="Arial" w:cs="Arial"/>
          <w:bCs/>
          <w:color w:val="000000" w:themeColor="text1"/>
          <w:sz w:val="20"/>
          <w:lang w:val="es-MX"/>
        </w:rPr>
      </w:pPr>
    </w:p>
    <w:p w14:paraId="193A9D18" w14:textId="58911FC9" w:rsidR="00A02774" w:rsidRPr="00A02774" w:rsidRDefault="00A02774" w:rsidP="00A02774">
      <w:pPr>
        <w:spacing w:after="0" w:line="240" w:lineRule="auto"/>
        <w:jc w:val="both"/>
        <w:rPr>
          <w:rFonts w:ascii="Arial" w:hAnsi="Arial" w:cs="Arial"/>
          <w:b/>
          <w:bCs/>
          <w:color w:val="000000" w:themeColor="text1"/>
          <w:sz w:val="20"/>
          <w:lang w:val="es"/>
        </w:rPr>
      </w:pPr>
      <w:r w:rsidRPr="00A02774">
        <w:rPr>
          <w:rFonts w:ascii="Arial" w:hAnsi="Arial" w:cs="Arial"/>
          <w:b/>
          <w:bCs/>
          <w:color w:val="000000" w:themeColor="text1"/>
          <w:sz w:val="20"/>
          <w:lang w:val="es"/>
        </w:rPr>
        <w:t>Figura 2</w:t>
      </w:r>
    </w:p>
    <w:p w14:paraId="78A95F28" w14:textId="571E2B5D" w:rsidR="00A02774" w:rsidRDefault="00A02774" w:rsidP="00A02774">
      <w:pPr>
        <w:spacing w:after="0" w:line="240" w:lineRule="auto"/>
        <w:jc w:val="both"/>
        <w:rPr>
          <w:rFonts w:ascii="Arial" w:hAnsi="Arial" w:cs="Arial"/>
          <w:bCs/>
          <w:i/>
          <w:color w:val="000000" w:themeColor="text1"/>
          <w:sz w:val="20"/>
          <w:lang w:val="es"/>
        </w:rPr>
      </w:pPr>
      <w:r w:rsidRPr="00A02774">
        <w:rPr>
          <w:rFonts w:ascii="Arial" w:hAnsi="Arial" w:cs="Arial"/>
          <w:bCs/>
          <w:i/>
          <w:color w:val="000000" w:themeColor="text1"/>
          <w:sz w:val="20"/>
          <w:lang w:val="es"/>
        </w:rPr>
        <w:t>Año de publicación de los artículos seleccionados</w:t>
      </w:r>
    </w:p>
    <w:p w14:paraId="3B728087" w14:textId="77777777" w:rsidR="00A02774" w:rsidRPr="00A02774" w:rsidRDefault="00A02774" w:rsidP="00A02774">
      <w:pPr>
        <w:spacing w:after="0" w:line="240" w:lineRule="auto"/>
        <w:jc w:val="both"/>
        <w:rPr>
          <w:rFonts w:ascii="Arial" w:hAnsi="Arial" w:cs="Arial"/>
          <w:bCs/>
          <w:color w:val="000000" w:themeColor="text1"/>
          <w:sz w:val="20"/>
          <w:lang w:val="es"/>
        </w:rPr>
      </w:pPr>
    </w:p>
    <w:p w14:paraId="14B47FA3" w14:textId="77777777" w:rsidR="00A02774" w:rsidRPr="00A02774" w:rsidRDefault="00A02774" w:rsidP="00A02774">
      <w:pPr>
        <w:spacing w:after="0" w:line="240" w:lineRule="auto"/>
        <w:jc w:val="center"/>
        <w:rPr>
          <w:rFonts w:ascii="Arial" w:hAnsi="Arial" w:cs="Arial"/>
          <w:bCs/>
          <w:color w:val="000000" w:themeColor="text1"/>
          <w:sz w:val="20"/>
          <w:lang w:val="es"/>
        </w:rPr>
      </w:pPr>
      <w:r w:rsidRPr="00A02774">
        <w:rPr>
          <w:rFonts w:ascii="Arial" w:hAnsi="Arial" w:cs="Arial"/>
          <w:bCs/>
          <w:color w:val="000000" w:themeColor="text1"/>
          <w:sz w:val="20"/>
          <w:lang w:val="en-US"/>
        </w:rPr>
        <w:drawing>
          <wp:inline distT="0" distB="0" distL="0" distR="0" wp14:anchorId="6B915EAA" wp14:editId="2368F5DA">
            <wp:extent cx="5400000" cy="2520000"/>
            <wp:effectExtent l="0" t="0" r="0" b="0"/>
            <wp:docPr id="2039490976" name="Gráfico 203949097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0E28E07" w14:textId="77777777" w:rsidR="00A02774" w:rsidRPr="00A02774" w:rsidRDefault="00A02774" w:rsidP="00A02774">
      <w:pPr>
        <w:spacing w:after="0" w:line="240" w:lineRule="auto"/>
        <w:jc w:val="both"/>
        <w:rPr>
          <w:rFonts w:ascii="Arial" w:hAnsi="Arial" w:cs="Arial"/>
          <w:bCs/>
          <w:color w:val="000000" w:themeColor="text1"/>
          <w:sz w:val="20"/>
          <w:lang w:val="en-US"/>
        </w:rPr>
      </w:pPr>
    </w:p>
    <w:p w14:paraId="03B0839E" w14:textId="6AF4756A" w:rsidR="00A02774" w:rsidRPr="00A02774" w:rsidRDefault="00A02774" w:rsidP="00A02774">
      <w:pPr>
        <w:spacing w:after="0" w:line="240" w:lineRule="auto"/>
        <w:ind w:firstLine="709"/>
        <w:jc w:val="both"/>
        <w:rPr>
          <w:rFonts w:ascii="Arial" w:hAnsi="Arial" w:cs="Arial"/>
          <w:bCs/>
          <w:color w:val="000000" w:themeColor="text1"/>
          <w:sz w:val="20"/>
          <w:lang w:val="es-MX"/>
        </w:rPr>
      </w:pPr>
      <w:r>
        <w:rPr>
          <w:rFonts w:ascii="Arial" w:hAnsi="Arial" w:cs="Arial"/>
          <w:bCs/>
          <w:color w:val="000000" w:themeColor="text1"/>
          <w:sz w:val="20"/>
          <w:lang w:val="es-MX"/>
        </w:rPr>
        <w:t>La F</w:t>
      </w:r>
      <w:r w:rsidRPr="00A02774">
        <w:rPr>
          <w:rFonts w:ascii="Arial" w:hAnsi="Arial" w:cs="Arial"/>
          <w:bCs/>
          <w:color w:val="000000" w:themeColor="text1"/>
          <w:sz w:val="20"/>
          <w:lang w:val="es-MX"/>
        </w:rPr>
        <w:t>igura 3 ofrece una visualización bibliométrica elaborada con el software VOSviewer, que muestra términos clave relacionados con la administración pública agrupados según la frecuencia de coocurrencia. El clúster verde resalta palabras como “public administration”, “public governance” y “co-production”, que articulan diversas líneas de investigación.</w:t>
      </w:r>
    </w:p>
    <w:p w14:paraId="25B5EA77" w14:textId="55CC5212" w:rsidR="00A02774" w:rsidRDefault="00A02774" w:rsidP="00A02774">
      <w:pPr>
        <w:spacing w:after="0" w:line="240" w:lineRule="auto"/>
        <w:ind w:firstLine="709"/>
        <w:jc w:val="both"/>
        <w:rPr>
          <w:rFonts w:ascii="Arial" w:hAnsi="Arial" w:cs="Arial"/>
          <w:bCs/>
          <w:color w:val="000000" w:themeColor="text1"/>
          <w:sz w:val="20"/>
          <w:lang w:val="es-MX"/>
        </w:rPr>
      </w:pPr>
      <w:r w:rsidRPr="00A02774">
        <w:rPr>
          <w:rFonts w:ascii="Arial" w:hAnsi="Arial" w:cs="Arial"/>
          <w:bCs/>
          <w:color w:val="000000" w:themeColor="text1"/>
          <w:sz w:val="20"/>
          <w:lang w:val="es-MX"/>
        </w:rPr>
        <w:t>Asimismo, el clúster amarillo vincula la gobernanza con tecnologías emergentes, como la inteligencia artificial, mientras que el clúster violeta agrupa conceptos relacionados con innovación, sostenibilidad y nueva gestión pública. Estas agrupaciones reflejan la fuerte conexión entre la gobernanza pública y el avance tecnológico.</w:t>
      </w:r>
    </w:p>
    <w:p w14:paraId="1A7562D2" w14:textId="1307BE39" w:rsidR="00A02774" w:rsidRDefault="00A02774" w:rsidP="00A02774">
      <w:pPr>
        <w:spacing w:after="0" w:line="240" w:lineRule="auto"/>
        <w:jc w:val="both"/>
        <w:rPr>
          <w:rFonts w:ascii="Arial" w:hAnsi="Arial" w:cs="Arial"/>
          <w:bCs/>
          <w:color w:val="000000" w:themeColor="text1"/>
          <w:sz w:val="20"/>
          <w:lang w:val="es-MX"/>
        </w:rPr>
      </w:pPr>
    </w:p>
    <w:p w14:paraId="59374CCF" w14:textId="77777777" w:rsidR="00A02774" w:rsidRDefault="00A02774" w:rsidP="00A02774">
      <w:pPr>
        <w:spacing w:after="0" w:line="240" w:lineRule="auto"/>
        <w:jc w:val="both"/>
        <w:rPr>
          <w:rFonts w:ascii="Arial" w:hAnsi="Arial" w:cs="Arial"/>
          <w:b/>
          <w:bCs/>
          <w:color w:val="000000" w:themeColor="text1"/>
          <w:sz w:val="20"/>
          <w:lang w:val="es"/>
        </w:rPr>
      </w:pPr>
    </w:p>
    <w:p w14:paraId="2130F9A8" w14:textId="77777777" w:rsidR="00A02774" w:rsidRDefault="00A02774" w:rsidP="00A02774">
      <w:pPr>
        <w:spacing w:after="0" w:line="240" w:lineRule="auto"/>
        <w:jc w:val="both"/>
        <w:rPr>
          <w:rFonts w:ascii="Arial" w:hAnsi="Arial" w:cs="Arial"/>
          <w:b/>
          <w:bCs/>
          <w:color w:val="000000" w:themeColor="text1"/>
          <w:sz w:val="20"/>
          <w:lang w:val="es"/>
        </w:rPr>
      </w:pPr>
    </w:p>
    <w:p w14:paraId="307F9709" w14:textId="5722350B" w:rsidR="00A02774" w:rsidRPr="00A02774" w:rsidRDefault="00A02774" w:rsidP="00A02774">
      <w:pPr>
        <w:spacing w:after="0" w:line="240" w:lineRule="auto"/>
        <w:jc w:val="both"/>
        <w:rPr>
          <w:rFonts w:ascii="Arial" w:hAnsi="Arial" w:cs="Arial"/>
          <w:b/>
          <w:bCs/>
          <w:color w:val="000000" w:themeColor="text1"/>
          <w:sz w:val="20"/>
          <w:lang w:val="es"/>
        </w:rPr>
      </w:pPr>
      <w:r w:rsidRPr="00A02774">
        <w:rPr>
          <w:rFonts w:ascii="Arial" w:hAnsi="Arial" w:cs="Arial"/>
          <w:b/>
          <w:bCs/>
          <w:color w:val="000000" w:themeColor="text1"/>
          <w:sz w:val="20"/>
          <w:lang w:val="es"/>
        </w:rPr>
        <w:lastRenderedPageBreak/>
        <w:t>Figura 3</w:t>
      </w:r>
    </w:p>
    <w:p w14:paraId="29D20711" w14:textId="77777777" w:rsidR="00A02774" w:rsidRPr="00A02774" w:rsidRDefault="00A02774" w:rsidP="00A02774">
      <w:pPr>
        <w:spacing w:after="0" w:line="240" w:lineRule="auto"/>
        <w:jc w:val="both"/>
        <w:rPr>
          <w:rFonts w:ascii="Arial" w:hAnsi="Arial" w:cs="Arial"/>
          <w:bCs/>
          <w:color w:val="000000" w:themeColor="text1"/>
          <w:sz w:val="20"/>
          <w:lang w:val="es"/>
        </w:rPr>
      </w:pPr>
      <w:r w:rsidRPr="00A02774">
        <w:rPr>
          <w:rFonts w:ascii="Arial" w:hAnsi="Arial" w:cs="Arial"/>
          <w:bCs/>
          <w:i/>
          <w:color w:val="000000" w:themeColor="text1"/>
          <w:sz w:val="20"/>
          <w:lang w:val="es"/>
        </w:rPr>
        <w:t>Mapa de coocurrencia de términos en estudios sobre la gobernanza pública y la innovación</w:t>
      </w:r>
    </w:p>
    <w:p w14:paraId="1E303E68" w14:textId="5272D8EA" w:rsidR="00A02774" w:rsidRPr="00A02774" w:rsidRDefault="00A02774" w:rsidP="00A02774">
      <w:pPr>
        <w:spacing w:after="0" w:line="240" w:lineRule="auto"/>
        <w:jc w:val="center"/>
        <w:rPr>
          <w:rFonts w:ascii="Arial" w:hAnsi="Arial" w:cs="Arial"/>
          <w:bCs/>
          <w:color w:val="000000" w:themeColor="text1"/>
          <w:sz w:val="20"/>
          <w:lang w:val="es"/>
        </w:rPr>
      </w:pPr>
      <w:r w:rsidRPr="00A02774">
        <w:rPr>
          <w:rFonts w:ascii="Arial" w:hAnsi="Arial" w:cs="Arial"/>
          <w:bCs/>
          <w:color w:val="000000" w:themeColor="text1"/>
          <w:sz w:val="20"/>
          <w:lang w:val="en-US"/>
        </w:rPr>
        <w:drawing>
          <wp:inline distT="0" distB="0" distL="0" distR="0" wp14:anchorId="55356B23" wp14:editId="691D1934">
            <wp:extent cx="6120000" cy="4848989"/>
            <wp:effectExtent l="0" t="0" r="0" b="8890"/>
            <wp:docPr id="203949097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rotWithShape="1">
                    <a:blip r:embed="rId18"/>
                    <a:srcRect l="4127" r="3318"/>
                    <a:stretch/>
                  </pic:blipFill>
                  <pic:spPr bwMode="auto">
                    <a:xfrm>
                      <a:off x="0" y="0"/>
                      <a:ext cx="6120000" cy="4848989"/>
                    </a:xfrm>
                    <a:prstGeom prst="rect">
                      <a:avLst/>
                    </a:prstGeom>
                    <a:ln>
                      <a:noFill/>
                    </a:ln>
                    <a:extLst>
                      <a:ext uri="{53640926-AAD7-44D8-BBD7-CCE9431645EC}">
                        <a14:shadowObscured xmlns:a14="http://schemas.microsoft.com/office/drawing/2010/main"/>
                      </a:ext>
                    </a:extLst>
                  </pic:spPr>
                </pic:pic>
              </a:graphicData>
            </a:graphic>
          </wp:inline>
        </w:drawing>
      </w:r>
    </w:p>
    <w:p w14:paraId="4EF09532" w14:textId="0468420F" w:rsidR="00A02774" w:rsidRDefault="00A02774" w:rsidP="00A02774">
      <w:pPr>
        <w:spacing w:after="0" w:line="240" w:lineRule="auto"/>
        <w:ind w:firstLine="709"/>
        <w:jc w:val="both"/>
        <w:rPr>
          <w:rFonts w:ascii="Arial" w:hAnsi="Arial" w:cs="Arial"/>
          <w:bCs/>
          <w:color w:val="000000" w:themeColor="text1"/>
          <w:sz w:val="20"/>
          <w:lang w:val="es-MX"/>
        </w:rPr>
      </w:pPr>
      <w:r>
        <w:rPr>
          <w:rFonts w:ascii="Arial" w:hAnsi="Arial" w:cs="Arial"/>
          <w:bCs/>
          <w:color w:val="000000" w:themeColor="text1"/>
          <w:sz w:val="20"/>
          <w:lang w:val="es-MX"/>
        </w:rPr>
        <w:t>En la F</w:t>
      </w:r>
      <w:r w:rsidRPr="00A02774">
        <w:rPr>
          <w:rFonts w:ascii="Arial" w:hAnsi="Arial" w:cs="Arial"/>
          <w:bCs/>
          <w:color w:val="000000" w:themeColor="text1"/>
          <w:sz w:val="20"/>
          <w:lang w:val="es-MX"/>
        </w:rPr>
        <w:t>igura 4, la visualización se centra en la interrelación entre gobernanza, innovación, sostenibilidad y políticas públicas. Se destacan varios clústeres temáticos; por ejemplo, el clúster azul asocia el gobierno digital y la participación ciudadana con términos como “</w:t>
      </w:r>
      <w:r w:rsidRPr="00A02774">
        <w:rPr>
          <w:rFonts w:ascii="Arial" w:hAnsi="Arial" w:cs="Arial"/>
          <w:bCs/>
          <w:i/>
          <w:color w:val="000000" w:themeColor="text1"/>
          <w:sz w:val="20"/>
          <w:lang w:val="es-MX"/>
        </w:rPr>
        <w:t>e-government</w:t>
      </w:r>
      <w:r w:rsidRPr="00A02774">
        <w:rPr>
          <w:rFonts w:ascii="Arial" w:hAnsi="Arial" w:cs="Arial"/>
          <w:bCs/>
          <w:color w:val="000000" w:themeColor="text1"/>
          <w:sz w:val="20"/>
          <w:lang w:val="es-MX"/>
        </w:rPr>
        <w:t>” y “</w:t>
      </w:r>
      <w:r w:rsidRPr="00A02774">
        <w:rPr>
          <w:rFonts w:ascii="Arial" w:hAnsi="Arial" w:cs="Arial"/>
          <w:bCs/>
          <w:i/>
          <w:color w:val="000000" w:themeColor="text1"/>
          <w:sz w:val="20"/>
          <w:lang w:val="es-MX"/>
        </w:rPr>
        <w:t>smart governance</w:t>
      </w:r>
      <w:r w:rsidRPr="00A02774">
        <w:rPr>
          <w:rFonts w:ascii="Arial" w:hAnsi="Arial" w:cs="Arial"/>
          <w:bCs/>
          <w:color w:val="000000" w:themeColor="text1"/>
          <w:sz w:val="20"/>
          <w:lang w:val="es-MX"/>
        </w:rPr>
        <w:t>”. El clúster amarillo se enfoca en políticas de ciencia y tecnología, con palabras como “</w:t>
      </w:r>
      <w:r w:rsidRPr="00A02774">
        <w:rPr>
          <w:rFonts w:ascii="Arial" w:hAnsi="Arial" w:cs="Arial"/>
          <w:bCs/>
          <w:i/>
          <w:color w:val="000000" w:themeColor="text1"/>
          <w:sz w:val="20"/>
          <w:lang w:val="es-MX"/>
        </w:rPr>
        <w:t>technology policy</w:t>
      </w:r>
      <w:r w:rsidRPr="00A02774">
        <w:rPr>
          <w:rFonts w:ascii="Arial" w:hAnsi="Arial" w:cs="Arial"/>
          <w:bCs/>
          <w:color w:val="000000" w:themeColor="text1"/>
          <w:sz w:val="20"/>
          <w:lang w:val="es-MX"/>
        </w:rPr>
        <w:t>” y “</w:t>
      </w:r>
      <w:r w:rsidRPr="00A02774">
        <w:rPr>
          <w:rFonts w:ascii="Arial" w:hAnsi="Arial" w:cs="Arial"/>
          <w:bCs/>
          <w:i/>
          <w:color w:val="000000" w:themeColor="text1"/>
          <w:sz w:val="20"/>
          <w:lang w:val="es-MX"/>
        </w:rPr>
        <w:t>policy making</w:t>
      </w:r>
      <w:r w:rsidRPr="00A02774">
        <w:rPr>
          <w:rFonts w:ascii="Arial" w:hAnsi="Arial" w:cs="Arial"/>
          <w:bCs/>
          <w:color w:val="000000" w:themeColor="text1"/>
          <w:sz w:val="20"/>
          <w:lang w:val="es-MX"/>
        </w:rPr>
        <w:t>”. Esta red bibliométrica revela una estructura interdisciplinaria donde innovación y sostenibilidad emergen como ejes centrales en el debate actual.</w:t>
      </w:r>
    </w:p>
    <w:p w14:paraId="2EBAF59E" w14:textId="4EDECD70" w:rsidR="00A02774" w:rsidRDefault="00A02774" w:rsidP="00A02774">
      <w:pPr>
        <w:spacing w:after="0" w:line="240" w:lineRule="auto"/>
        <w:jc w:val="both"/>
        <w:rPr>
          <w:rFonts w:ascii="Arial" w:hAnsi="Arial" w:cs="Arial"/>
          <w:bCs/>
          <w:color w:val="000000" w:themeColor="text1"/>
          <w:sz w:val="20"/>
          <w:lang w:val="es-MX"/>
        </w:rPr>
      </w:pPr>
    </w:p>
    <w:p w14:paraId="68BA9E0B" w14:textId="77777777" w:rsidR="00A02774" w:rsidRDefault="00A02774" w:rsidP="00A02774">
      <w:pPr>
        <w:spacing w:after="0" w:line="240" w:lineRule="auto"/>
        <w:jc w:val="both"/>
        <w:rPr>
          <w:rFonts w:ascii="Arial" w:hAnsi="Arial" w:cs="Arial"/>
          <w:b/>
          <w:bCs/>
          <w:color w:val="000000" w:themeColor="text1"/>
          <w:sz w:val="20"/>
          <w:lang w:val="es"/>
        </w:rPr>
      </w:pPr>
    </w:p>
    <w:p w14:paraId="1AF643C9" w14:textId="77777777" w:rsidR="00A02774" w:rsidRDefault="00A02774" w:rsidP="00A02774">
      <w:pPr>
        <w:spacing w:after="0" w:line="240" w:lineRule="auto"/>
        <w:jc w:val="both"/>
        <w:rPr>
          <w:rFonts w:ascii="Arial" w:hAnsi="Arial" w:cs="Arial"/>
          <w:b/>
          <w:bCs/>
          <w:color w:val="000000" w:themeColor="text1"/>
          <w:sz w:val="20"/>
          <w:lang w:val="es"/>
        </w:rPr>
      </w:pPr>
    </w:p>
    <w:p w14:paraId="53CFA704" w14:textId="77777777" w:rsidR="00A02774" w:rsidRDefault="00A02774" w:rsidP="00A02774">
      <w:pPr>
        <w:spacing w:after="0" w:line="240" w:lineRule="auto"/>
        <w:jc w:val="both"/>
        <w:rPr>
          <w:rFonts w:ascii="Arial" w:hAnsi="Arial" w:cs="Arial"/>
          <w:b/>
          <w:bCs/>
          <w:color w:val="000000" w:themeColor="text1"/>
          <w:sz w:val="20"/>
          <w:lang w:val="es"/>
        </w:rPr>
      </w:pPr>
    </w:p>
    <w:p w14:paraId="36F1E945" w14:textId="77777777" w:rsidR="00A02774" w:rsidRDefault="00A02774" w:rsidP="00A02774">
      <w:pPr>
        <w:spacing w:after="0" w:line="240" w:lineRule="auto"/>
        <w:jc w:val="both"/>
        <w:rPr>
          <w:rFonts w:ascii="Arial" w:hAnsi="Arial" w:cs="Arial"/>
          <w:b/>
          <w:bCs/>
          <w:color w:val="000000" w:themeColor="text1"/>
          <w:sz w:val="20"/>
          <w:lang w:val="es"/>
        </w:rPr>
      </w:pPr>
    </w:p>
    <w:p w14:paraId="18ADED14" w14:textId="77777777" w:rsidR="00A02774" w:rsidRDefault="00A02774" w:rsidP="00A02774">
      <w:pPr>
        <w:spacing w:after="0" w:line="240" w:lineRule="auto"/>
        <w:jc w:val="both"/>
        <w:rPr>
          <w:rFonts w:ascii="Arial" w:hAnsi="Arial" w:cs="Arial"/>
          <w:b/>
          <w:bCs/>
          <w:color w:val="000000" w:themeColor="text1"/>
          <w:sz w:val="20"/>
          <w:lang w:val="es"/>
        </w:rPr>
      </w:pPr>
    </w:p>
    <w:p w14:paraId="2A3AB73C" w14:textId="77777777" w:rsidR="00A02774" w:rsidRDefault="00A02774" w:rsidP="00A02774">
      <w:pPr>
        <w:spacing w:after="0" w:line="240" w:lineRule="auto"/>
        <w:jc w:val="both"/>
        <w:rPr>
          <w:rFonts w:ascii="Arial" w:hAnsi="Arial" w:cs="Arial"/>
          <w:b/>
          <w:bCs/>
          <w:color w:val="000000" w:themeColor="text1"/>
          <w:sz w:val="20"/>
          <w:lang w:val="es"/>
        </w:rPr>
      </w:pPr>
    </w:p>
    <w:p w14:paraId="32D1C6B2" w14:textId="77777777" w:rsidR="00A02774" w:rsidRDefault="00A02774" w:rsidP="00A02774">
      <w:pPr>
        <w:spacing w:after="0" w:line="240" w:lineRule="auto"/>
        <w:jc w:val="both"/>
        <w:rPr>
          <w:rFonts w:ascii="Arial" w:hAnsi="Arial" w:cs="Arial"/>
          <w:b/>
          <w:bCs/>
          <w:color w:val="000000" w:themeColor="text1"/>
          <w:sz w:val="20"/>
          <w:lang w:val="es"/>
        </w:rPr>
      </w:pPr>
    </w:p>
    <w:p w14:paraId="5D232887" w14:textId="77777777" w:rsidR="00A02774" w:rsidRDefault="00A02774" w:rsidP="00A02774">
      <w:pPr>
        <w:spacing w:after="0" w:line="240" w:lineRule="auto"/>
        <w:jc w:val="both"/>
        <w:rPr>
          <w:rFonts w:ascii="Arial" w:hAnsi="Arial" w:cs="Arial"/>
          <w:b/>
          <w:bCs/>
          <w:color w:val="000000" w:themeColor="text1"/>
          <w:sz w:val="20"/>
          <w:lang w:val="es"/>
        </w:rPr>
      </w:pPr>
    </w:p>
    <w:p w14:paraId="1DB62A22" w14:textId="77777777" w:rsidR="00A02774" w:rsidRDefault="00A02774" w:rsidP="00A02774">
      <w:pPr>
        <w:spacing w:after="0" w:line="240" w:lineRule="auto"/>
        <w:jc w:val="both"/>
        <w:rPr>
          <w:rFonts w:ascii="Arial" w:hAnsi="Arial" w:cs="Arial"/>
          <w:b/>
          <w:bCs/>
          <w:color w:val="000000" w:themeColor="text1"/>
          <w:sz w:val="20"/>
          <w:lang w:val="es"/>
        </w:rPr>
      </w:pPr>
    </w:p>
    <w:p w14:paraId="2139B0AB" w14:textId="77777777" w:rsidR="00A02774" w:rsidRDefault="00A02774" w:rsidP="00A02774">
      <w:pPr>
        <w:spacing w:after="0" w:line="240" w:lineRule="auto"/>
        <w:jc w:val="both"/>
        <w:rPr>
          <w:rFonts w:ascii="Arial" w:hAnsi="Arial" w:cs="Arial"/>
          <w:b/>
          <w:bCs/>
          <w:color w:val="000000" w:themeColor="text1"/>
          <w:sz w:val="20"/>
          <w:lang w:val="es"/>
        </w:rPr>
      </w:pPr>
    </w:p>
    <w:p w14:paraId="6B33D093" w14:textId="77777777" w:rsidR="00A02774" w:rsidRDefault="00A02774" w:rsidP="00A02774">
      <w:pPr>
        <w:spacing w:after="0" w:line="240" w:lineRule="auto"/>
        <w:jc w:val="both"/>
        <w:rPr>
          <w:rFonts w:ascii="Arial" w:hAnsi="Arial" w:cs="Arial"/>
          <w:b/>
          <w:bCs/>
          <w:color w:val="000000" w:themeColor="text1"/>
          <w:sz w:val="20"/>
          <w:lang w:val="es"/>
        </w:rPr>
      </w:pPr>
    </w:p>
    <w:p w14:paraId="51A4306C" w14:textId="77777777" w:rsidR="00A02774" w:rsidRDefault="00A02774" w:rsidP="00A02774">
      <w:pPr>
        <w:spacing w:after="0" w:line="240" w:lineRule="auto"/>
        <w:jc w:val="both"/>
        <w:rPr>
          <w:rFonts w:ascii="Arial" w:hAnsi="Arial" w:cs="Arial"/>
          <w:b/>
          <w:bCs/>
          <w:color w:val="000000" w:themeColor="text1"/>
          <w:sz w:val="20"/>
          <w:lang w:val="es"/>
        </w:rPr>
      </w:pPr>
    </w:p>
    <w:p w14:paraId="093224AA" w14:textId="77777777" w:rsidR="00A02774" w:rsidRDefault="00A02774" w:rsidP="00A02774">
      <w:pPr>
        <w:spacing w:after="0" w:line="240" w:lineRule="auto"/>
        <w:jc w:val="both"/>
        <w:rPr>
          <w:rFonts w:ascii="Arial" w:hAnsi="Arial" w:cs="Arial"/>
          <w:b/>
          <w:bCs/>
          <w:color w:val="000000" w:themeColor="text1"/>
          <w:sz w:val="20"/>
          <w:lang w:val="es"/>
        </w:rPr>
      </w:pPr>
    </w:p>
    <w:p w14:paraId="0BB6899D" w14:textId="3D12231A" w:rsidR="00A02774" w:rsidRDefault="00A02774" w:rsidP="00A02774">
      <w:pPr>
        <w:spacing w:after="0" w:line="240" w:lineRule="auto"/>
        <w:jc w:val="both"/>
        <w:rPr>
          <w:rFonts w:ascii="Arial" w:hAnsi="Arial" w:cs="Arial"/>
          <w:b/>
          <w:bCs/>
          <w:color w:val="000000" w:themeColor="text1"/>
          <w:sz w:val="20"/>
          <w:lang w:val="es"/>
        </w:rPr>
      </w:pPr>
      <w:r w:rsidRPr="00A02774">
        <w:rPr>
          <w:rFonts w:ascii="Arial" w:hAnsi="Arial" w:cs="Arial"/>
          <w:b/>
          <w:bCs/>
          <w:color w:val="000000" w:themeColor="text1"/>
          <w:sz w:val="20"/>
          <w:lang w:val="es"/>
        </w:rPr>
        <w:lastRenderedPageBreak/>
        <w:t>Figura 4</w:t>
      </w:r>
    </w:p>
    <w:p w14:paraId="3218D50A" w14:textId="4BD028B5" w:rsidR="00A02774" w:rsidRPr="00A02774" w:rsidRDefault="00A02774" w:rsidP="00A02774">
      <w:pPr>
        <w:spacing w:after="0" w:line="240" w:lineRule="auto"/>
        <w:jc w:val="both"/>
        <w:rPr>
          <w:rFonts w:ascii="Arial" w:hAnsi="Arial" w:cs="Arial"/>
          <w:b/>
          <w:bCs/>
          <w:color w:val="000000" w:themeColor="text1"/>
          <w:sz w:val="20"/>
          <w:lang w:val="es"/>
        </w:rPr>
      </w:pPr>
      <w:r w:rsidRPr="00A02774">
        <w:rPr>
          <w:rFonts w:ascii="Arial" w:hAnsi="Arial" w:cs="Arial"/>
          <w:bCs/>
          <w:i/>
          <w:color w:val="000000" w:themeColor="text1"/>
          <w:sz w:val="20"/>
          <w:lang w:val="es"/>
        </w:rPr>
        <w:t xml:space="preserve">Visualización bibliométrica de enfoques sobre la gobernanza tecnológica y la innovación </w:t>
      </w:r>
    </w:p>
    <w:p w14:paraId="7DB1B72C" w14:textId="630D43A9" w:rsidR="00A02774" w:rsidRPr="00A02774" w:rsidRDefault="00A02774" w:rsidP="00A02774">
      <w:pPr>
        <w:spacing w:after="0" w:line="240" w:lineRule="auto"/>
        <w:jc w:val="both"/>
        <w:rPr>
          <w:rFonts w:ascii="Arial" w:hAnsi="Arial" w:cs="Arial"/>
          <w:bCs/>
          <w:color w:val="000000" w:themeColor="text1"/>
          <w:sz w:val="20"/>
          <w:lang w:val="es"/>
        </w:rPr>
      </w:pPr>
      <w:r w:rsidRPr="00A02774">
        <w:rPr>
          <w:rFonts w:ascii="Arial" w:hAnsi="Arial" w:cs="Arial"/>
          <w:bCs/>
          <w:color w:val="000000" w:themeColor="text1"/>
          <w:sz w:val="20"/>
          <w:lang w:val="es"/>
        </w:rPr>
        <w:t xml:space="preserve"> </w:t>
      </w:r>
    </w:p>
    <w:p w14:paraId="547C13F5" w14:textId="1E60F4CF" w:rsidR="00A02774" w:rsidRPr="00A02774" w:rsidRDefault="00A02774" w:rsidP="00A02774">
      <w:pPr>
        <w:spacing w:after="0" w:line="240" w:lineRule="auto"/>
        <w:jc w:val="center"/>
        <w:rPr>
          <w:rFonts w:ascii="Arial" w:hAnsi="Arial" w:cs="Arial"/>
          <w:bCs/>
          <w:color w:val="000000" w:themeColor="text1"/>
          <w:sz w:val="20"/>
          <w:lang w:val="es-MX"/>
        </w:rPr>
      </w:pPr>
      <w:r w:rsidRPr="00A02774">
        <w:rPr>
          <w:rFonts w:ascii="Arial" w:hAnsi="Arial" w:cs="Arial"/>
          <w:bCs/>
          <w:color w:val="000000" w:themeColor="text1"/>
          <w:sz w:val="20"/>
          <w:lang w:val="en-US"/>
        </w:rPr>
        <w:drawing>
          <wp:inline distT="0" distB="0" distL="0" distR="0" wp14:anchorId="089C5AE1" wp14:editId="7804F377">
            <wp:extent cx="5400000" cy="5197096"/>
            <wp:effectExtent l="0" t="0" r="0" b="3810"/>
            <wp:docPr id="2039490978"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rotWithShape="1">
                    <a:blip r:embed="rId19"/>
                    <a:srcRect l="5055" t="2713" r="4235" b="6066"/>
                    <a:stretch/>
                  </pic:blipFill>
                  <pic:spPr bwMode="auto">
                    <a:xfrm>
                      <a:off x="0" y="0"/>
                      <a:ext cx="5400000" cy="5197096"/>
                    </a:xfrm>
                    <a:prstGeom prst="rect">
                      <a:avLst/>
                    </a:prstGeom>
                    <a:ln>
                      <a:noFill/>
                    </a:ln>
                    <a:extLst>
                      <a:ext uri="{53640926-AAD7-44D8-BBD7-CCE9431645EC}">
                        <a14:shadowObscured xmlns:a14="http://schemas.microsoft.com/office/drawing/2010/main"/>
                      </a:ext>
                    </a:extLst>
                  </pic:spPr>
                </pic:pic>
              </a:graphicData>
            </a:graphic>
          </wp:inline>
        </w:drawing>
      </w:r>
    </w:p>
    <w:p w14:paraId="1493D8AB" w14:textId="77777777" w:rsidR="00A02774" w:rsidRDefault="00A02774" w:rsidP="00A02774">
      <w:pPr>
        <w:spacing w:after="0" w:line="240" w:lineRule="auto"/>
        <w:ind w:firstLine="709"/>
        <w:jc w:val="both"/>
        <w:rPr>
          <w:rFonts w:ascii="Arial" w:hAnsi="Arial" w:cs="Arial"/>
          <w:bCs/>
          <w:color w:val="000000" w:themeColor="text1"/>
          <w:sz w:val="20"/>
          <w:lang w:val="es-MX"/>
        </w:rPr>
      </w:pPr>
    </w:p>
    <w:p w14:paraId="7E988151" w14:textId="5A29E71B" w:rsidR="00A02774" w:rsidRPr="00A02774" w:rsidRDefault="00A02774" w:rsidP="00A02774">
      <w:pPr>
        <w:spacing w:after="0" w:line="240" w:lineRule="auto"/>
        <w:ind w:firstLine="709"/>
        <w:jc w:val="both"/>
        <w:rPr>
          <w:rFonts w:ascii="Arial" w:hAnsi="Arial" w:cs="Arial"/>
          <w:bCs/>
          <w:color w:val="000000" w:themeColor="text1"/>
          <w:sz w:val="20"/>
          <w:lang w:val="es-MX"/>
        </w:rPr>
      </w:pPr>
      <w:r w:rsidRPr="00A02774">
        <w:rPr>
          <w:rFonts w:ascii="Arial" w:hAnsi="Arial" w:cs="Arial"/>
          <w:bCs/>
          <w:color w:val="000000" w:themeColor="text1"/>
          <w:sz w:val="20"/>
          <w:lang w:val="es-MX"/>
        </w:rPr>
        <w:t>Por otra parte, la gobernanza se manifiesta en los procesos de negociación y acuerdos entre actores para alcanzar los objetivos previstos en la gestión pública (Rodríguez, 2015; Mendoza &amp; Dávila, 2024). En este marco, la participación temprana de actores sociales y ciudadanos resulta fundamental para fortalecer la legitimidad democrática, la calidad de las políticas públicas y la capacidad innovadora (McMullin, 2020).</w:t>
      </w:r>
    </w:p>
    <w:p w14:paraId="3BA5FEAE" w14:textId="60AE753E" w:rsidR="00A02774" w:rsidRDefault="00A02774" w:rsidP="00A02774">
      <w:pPr>
        <w:spacing w:after="0" w:line="240" w:lineRule="auto"/>
        <w:ind w:firstLine="709"/>
        <w:jc w:val="both"/>
        <w:rPr>
          <w:rFonts w:ascii="Arial" w:hAnsi="Arial" w:cs="Arial"/>
          <w:bCs/>
          <w:color w:val="000000" w:themeColor="text1"/>
          <w:sz w:val="20"/>
          <w:lang w:val="es-MX"/>
        </w:rPr>
      </w:pPr>
      <w:r w:rsidRPr="00A02774">
        <w:rPr>
          <w:rFonts w:ascii="Arial" w:hAnsi="Arial" w:cs="Arial"/>
          <w:bCs/>
          <w:color w:val="000000" w:themeColor="text1"/>
          <w:sz w:val="20"/>
          <w:lang w:val="es-MX"/>
        </w:rPr>
        <w:t xml:space="preserve">Asimismo, se plantea una crítica contundente hacia los modelos tradicionales de gestión. Cárdenas et al. (2020) señalan que la nueva gestión pública </w:t>
      </w:r>
      <w:r>
        <w:rPr>
          <w:rFonts w:ascii="Arial" w:hAnsi="Arial" w:cs="Arial"/>
          <w:bCs/>
          <w:color w:val="000000" w:themeColor="text1"/>
          <w:sz w:val="20"/>
          <w:lang w:val="es-MX"/>
        </w:rPr>
        <w:t xml:space="preserve">(NGP) </w:t>
      </w:r>
      <w:r w:rsidRPr="00A02774">
        <w:rPr>
          <w:rFonts w:ascii="Arial" w:hAnsi="Arial" w:cs="Arial"/>
          <w:bCs/>
          <w:color w:val="000000" w:themeColor="text1"/>
          <w:sz w:val="20"/>
          <w:lang w:val="es-MX"/>
        </w:rPr>
        <w:t>ha subordinado el interés público a la lógica de mercado. En contraposición, se destaca que el modelo de gobernanza más adecuado es aquel que incorpora factores democráticos y la participación de diversos agentes. En la Tabla 3 se presenta un contraste entre estos enfoques.</w:t>
      </w:r>
    </w:p>
    <w:p w14:paraId="0DC15A67" w14:textId="5260B1B0" w:rsidR="00A02774" w:rsidRDefault="00A02774" w:rsidP="00A02774">
      <w:pPr>
        <w:spacing w:after="0" w:line="240" w:lineRule="auto"/>
        <w:jc w:val="both"/>
        <w:rPr>
          <w:rFonts w:ascii="Arial" w:hAnsi="Arial" w:cs="Arial"/>
          <w:bCs/>
          <w:color w:val="000000" w:themeColor="text1"/>
          <w:sz w:val="20"/>
          <w:lang w:val="es-MX"/>
        </w:rPr>
      </w:pPr>
    </w:p>
    <w:p w14:paraId="4A906408" w14:textId="5EF62550" w:rsidR="00A02774" w:rsidRPr="00A02774" w:rsidRDefault="00A02774" w:rsidP="00A02774">
      <w:pPr>
        <w:spacing w:after="0" w:line="240" w:lineRule="auto"/>
        <w:jc w:val="both"/>
        <w:rPr>
          <w:rFonts w:ascii="Arial" w:hAnsi="Arial" w:cs="Arial"/>
          <w:b/>
          <w:bCs/>
          <w:color w:val="000000" w:themeColor="text1"/>
          <w:sz w:val="20"/>
          <w:lang w:val="es"/>
        </w:rPr>
      </w:pPr>
      <w:r w:rsidRPr="00A02774">
        <w:rPr>
          <w:rFonts w:ascii="Arial" w:hAnsi="Arial" w:cs="Arial"/>
          <w:b/>
          <w:bCs/>
          <w:color w:val="000000" w:themeColor="text1"/>
          <w:sz w:val="20"/>
          <w:lang w:val="es"/>
        </w:rPr>
        <w:t>Tabla 3</w:t>
      </w:r>
    </w:p>
    <w:p w14:paraId="205A5FA0" w14:textId="646A0744" w:rsidR="00A02774" w:rsidRDefault="00A02774" w:rsidP="00A02774">
      <w:pPr>
        <w:spacing w:after="0" w:line="240" w:lineRule="auto"/>
        <w:jc w:val="both"/>
        <w:rPr>
          <w:rFonts w:ascii="Arial" w:hAnsi="Arial" w:cs="Arial"/>
          <w:bCs/>
          <w:i/>
          <w:color w:val="000000" w:themeColor="text1"/>
          <w:sz w:val="20"/>
          <w:lang w:val="es"/>
        </w:rPr>
      </w:pPr>
      <w:r w:rsidRPr="00A02774">
        <w:rPr>
          <w:rFonts w:ascii="Arial" w:hAnsi="Arial" w:cs="Arial"/>
          <w:bCs/>
          <w:i/>
          <w:color w:val="000000" w:themeColor="text1"/>
          <w:sz w:val="20"/>
          <w:lang w:val="es"/>
        </w:rPr>
        <w:t>Contraste entre la nueva gestión pública y la gobernanza pública</w:t>
      </w:r>
    </w:p>
    <w:p w14:paraId="52A59A09" w14:textId="77777777" w:rsidR="00A02774" w:rsidRPr="00A02774" w:rsidRDefault="00A02774" w:rsidP="00A02774">
      <w:pPr>
        <w:spacing w:after="0" w:line="240" w:lineRule="auto"/>
        <w:jc w:val="both"/>
        <w:rPr>
          <w:rFonts w:ascii="Arial" w:hAnsi="Arial" w:cs="Arial"/>
          <w:bCs/>
          <w:i/>
          <w:color w:val="000000" w:themeColor="text1"/>
          <w:sz w:val="20"/>
          <w:lang w:val="es"/>
        </w:rPr>
      </w:pPr>
    </w:p>
    <w:tbl>
      <w:tblPr>
        <w:tblStyle w:val="Tablanormal2"/>
        <w:tblW w:w="5000" w:type="pct"/>
        <w:tblLook w:val="0400" w:firstRow="0" w:lastRow="0" w:firstColumn="0" w:lastColumn="0" w:noHBand="0" w:noVBand="1"/>
      </w:tblPr>
      <w:tblGrid>
        <w:gridCol w:w="2533"/>
        <w:gridCol w:w="3831"/>
        <w:gridCol w:w="3608"/>
      </w:tblGrid>
      <w:tr w:rsidR="00A02774" w:rsidRPr="00A02774" w14:paraId="62FD8518" w14:textId="77777777" w:rsidTr="00A02774">
        <w:trPr>
          <w:cnfStyle w:val="000000100000" w:firstRow="0" w:lastRow="0" w:firstColumn="0" w:lastColumn="0" w:oddVBand="0" w:evenVBand="0" w:oddHBand="1" w:evenHBand="0" w:firstRowFirstColumn="0" w:firstRowLastColumn="0" w:lastRowFirstColumn="0" w:lastRowLastColumn="0"/>
          <w:trHeight w:val="283"/>
        </w:trPr>
        <w:tc>
          <w:tcPr>
            <w:tcW w:w="1270" w:type="pct"/>
            <w:shd w:val="clear" w:color="auto" w:fill="F2F2F2" w:themeFill="background1" w:themeFillShade="F2"/>
            <w:vAlign w:val="center"/>
          </w:tcPr>
          <w:p w14:paraId="46133300" w14:textId="77777777" w:rsidR="00A02774" w:rsidRPr="00A02774" w:rsidRDefault="00A02774" w:rsidP="00A02774">
            <w:pPr>
              <w:spacing w:after="0" w:line="240" w:lineRule="auto"/>
              <w:jc w:val="center"/>
              <w:rPr>
                <w:rFonts w:ascii="Arial" w:hAnsi="Arial" w:cs="Arial"/>
                <w:b/>
                <w:bCs/>
                <w:color w:val="000000" w:themeColor="text1"/>
                <w:sz w:val="18"/>
                <w:lang w:val="es"/>
              </w:rPr>
            </w:pPr>
            <w:r w:rsidRPr="00A02774">
              <w:rPr>
                <w:rFonts w:ascii="Arial" w:hAnsi="Arial" w:cs="Arial"/>
                <w:b/>
                <w:bCs/>
                <w:color w:val="000000" w:themeColor="text1"/>
                <w:sz w:val="18"/>
                <w:lang w:val="es"/>
              </w:rPr>
              <w:t>Elemento</w:t>
            </w:r>
          </w:p>
        </w:tc>
        <w:tc>
          <w:tcPr>
            <w:tcW w:w="1921" w:type="pct"/>
            <w:shd w:val="clear" w:color="auto" w:fill="F2F2F2" w:themeFill="background1" w:themeFillShade="F2"/>
            <w:vAlign w:val="center"/>
          </w:tcPr>
          <w:p w14:paraId="6998517A" w14:textId="77777777" w:rsidR="00A02774" w:rsidRPr="00A02774" w:rsidRDefault="00A02774" w:rsidP="00A02774">
            <w:pPr>
              <w:spacing w:after="0" w:line="240" w:lineRule="auto"/>
              <w:jc w:val="center"/>
              <w:rPr>
                <w:rFonts w:ascii="Arial" w:hAnsi="Arial" w:cs="Arial"/>
                <w:b/>
                <w:bCs/>
                <w:color w:val="000000" w:themeColor="text1"/>
                <w:sz w:val="18"/>
                <w:lang w:val="es"/>
              </w:rPr>
            </w:pPr>
            <w:r w:rsidRPr="00A02774">
              <w:rPr>
                <w:rFonts w:ascii="Arial" w:hAnsi="Arial" w:cs="Arial"/>
                <w:b/>
                <w:bCs/>
                <w:color w:val="000000" w:themeColor="text1"/>
                <w:sz w:val="18"/>
                <w:lang w:val="es"/>
              </w:rPr>
              <w:t>Nueva Gestión Pública (NGP)</w:t>
            </w:r>
          </w:p>
        </w:tc>
        <w:tc>
          <w:tcPr>
            <w:tcW w:w="1809" w:type="pct"/>
            <w:shd w:val="clear" w:color="auto" w:fill="F2F2F2" w:themeFill="background1" w:themeFillShade="F2"/>
            <w:vAlign w:val="center"/>
          </w:tcPr>
          <w:p w14:paraId="137AA44B" w14:textId="77777777" w:rsidR="00A02774" w:rsidRPr="00A02774" w:rsidRDefault="00A02774" w:rsidP="00A02774">
            <w:pPr>
              <w:spacing w:after="0" w:line="240" w:lineRule="auto"/>
              <w:jc w:val="center"/>
              <w:rPr>
                <w:rFonts w:ascii="Arial" w:hAnsi="Arial" w:cs="Arial"/>
                <w:b/>
                <w:bCs/>
                <w:color w:val="000000" w:themeColor="text1"/>
                <w:sz w:val="18"/>
                <w:lang w:val="es"/>
              </w:rPr>
            </w:pPr>
            <w:r w:rsidRPr="00A02774">
              <w:rPr>
                <w:rFonts w:ascii="Arial" w:hAnsi="Arial" w:cs="Arial"/>
                <w:b/>
                <w:bCs/>
                <w:color w:val="000000" w:themeColor="text1"/>
                <w:sz w:val="18"/>
                <w:lang w:val="es"/>
              </w:rPr>
              <w:t>Gobernanza</w:t>
            </w:r>
          </w:p>
        </w:tc>
      </w:tr>
      <w:tr w:rsidR="00A02774" w:rsidRPr="00A02774" w14:paraId="5E784D94" w14:textId="77777777" w:rsidTr="00A02774">
        <w:trPr>
          <w:trHeight w:val="510"/>
        </w:trPr>
        <w:tc>
          <w:tcPr>
            <w:tcW w:w="1270" w:type="pct"/>
            <w:vAlign w:val="center"/>
          </w:tcPr>
          <w:p w14:paraId="32E7DE3C" w14:textId="77777777" w:rsidR="00A02774" w:rsidRPr="00A02774" w:rsidRDefault="00A02774" w:rsidP="00A02774">
            <w:pPr>
              <w:spacing w:after="0" w:line="240" w:lineRule="auto"/>
              <w:jc w:val="center"/>
              <w:rPr>
                <w:rFonts w:ascii="Arial" w:hAnsi="Arial" w:cs="Arial"/>
                <w:bCs/>
                <w:color w:val="000000" w:themeColor="text1"/>
                <w:sz w:val="18"/>
                <w:lang w:val="es"/>
              </w:rPr>
            </w:pPr>
            <w:r w:rsidRPr="00A02774">
              <w:rPr>
                <w:rFonts w:ascii="Arial" w:hAnsi="Arial" w:cs="Arial"/>
                <w:bCs/>
                <w:color w:val="000000" w:themeColor="text1"/>
                <w:sz w:val="18"/>
                <w:lang w:val="es"/>
              </w:rPr>
              <w:t>Enfoque</w:t>
            </w:r>
          </w:p>
        </w:tc>
        <w:tc>
          <w:tcPr>
            <w:tcW w:w="1921" w:type="pct"/>
            <w:vAlign w:val="center"/>
          </w:tcPr>
          <w:p w14:paraId="04456896" w14:textId="77777777" w:rsidR="00A02774" w:rsidRPr="00A02774" w:rsidRDefault="00A02774" w:rsidP="00A02774">
            <w:pPr>
              <w:spacing w:after="0" w:line="240" w:lineRule="auto"/>
              <w:jc w:val="center"/>
              <w:rPr>
                <w:rFonts w:ascii="Arial" w:hAnsi="Arial" w:cs="Arial"/>
                <w:bCs/>
                <w:color w:val="000000" w:themeColor="text1"/>
                <w:sz w:val="18"/>
                <w:lang w:val="es"/>
              </w:rPr>
            </w:pPr>
            <w:r w:rsidRPr="00A02774">
              <w:rPr>
                <w:rFonts w:ascii="Arial" w:hAnsi="Arial" w:cs="Arial"/>
                <w:bCs/>
                <w:color w:val="000000" w:themeColor="text1"/>
                <w:sz w:val="18"/>
                <w:lang w:val="es"/>
              </w:rPr>
              <w:t>Eficiencia interna, control, rendición de cuentas</w:t>
            </w:r>
          </w:p>
        </w:tc>
        <w:tc>
          <w:tcPr>
            <w:tcW w:w="1809" w:type="pct"/>
            <w:vAlign w:val="center"/>
          </w:tcPr>
          <w:p w14:paraId="75C9EC39" w14:textId="77777777" w:rsidR="00A02774" w:rsidRPr="00A02774" w:rsidRDefault="00A02774" w:rsidP="00A02774">
            <w:pPr>
              <w:spacing w:after="0" w:line="240" w:lineRule="auto"/>
              <w:jc w:val="center"/>
              <w:rPr>
                <w:rFonts w:ascii="Arial" w:hAnsi="Arial" w:cs="Arial"/>
                <w:bCs/>
                <w:color w:val="000000" w:themeColor="text1"/>
                <w:sz w:val="18"/>
                <w:lang w:val="es"/>
              </w:rPr>
            </w:pPr>
            <w:r w:rsidRPr="00A02774">
              <w:rPr>
                <w:rFonts w:ascii="Arial" w:hAnsi="Arial" w:cs="Arial"/>
                <w:bCs/>
                <w:color w:val="000000" w:themeColor="text1"/>
                <w:sz w:val="18"/>
                <w:lang w:val="es"/>
              </w:rPr>
              <w:t>Interacción, redes legitimidad, colaboración</w:t>
            </w:r>
          </w:p>
        </w:tc>
      </w:tr>
      <w:tr w:rsidR="00A02774" w:rsidRPr="00A02774" w14:paraId="1C98D1C3" w14:textId="77777777" w:rsidTr="00A02774">
        <w:trPr>
          <w:cnfStyle w:val="000000100000" w:firstRow="0" w:lastRow="0" w:firstColumn="0" w:lastColumn="0" w:oddVBand="0" w:evenVBand="0" w:oddHBand="1" w:evenHBand="0" w:firstRowFirstColumn="0" w:firstRowLastColumn="0" w:lastRowFirstColumn="0" w:lastRowLastColumn="0"/>
          <w:trHeight w:val="510"/>
        </w:trPr>
        <w:tc>
          <w:tcPr>
            <w:tcW w:w="1270" w:type="pct"/>
            <w:shd w:val="clear" w:color="auto" w:fill="F2F2F2" w:themeFill="background1" w:themeFillShade="F2"/>
            <w:vAlign w:val="center"/>
          </w:tcPr>
          <w:p w14:paraId="4844FECE" w14:textId="77777777" w:rsidR="00A02774" w:rsidRPr="00A02774" w:rsidRDefault="00A02774" w:rsidP="00A02774">
            <w:pPr>
              <w:spacing w:after="0" w:line="240" w:lineRule="auto"/>
              <w:jc w:val="center"/>
              <w:rPr>
                <w:rFonts w:ascii="Arial" w:hAnsi="Arial" w:cs="Arial"/>
                <w:bCs/>
                <w:color w:val="000000" w:themeColor="text1"/>
                <w:sz w:val="18"/>
                <w:lang w:val="es"/>
              </w:rPr>
            </w:pPr>
            <w:r w:rsidRPr="00A02774">
              <w:rPr>
                <w:rFonts w:ascii="Arial" w:hAnsi="Arial" w:cs="Arial"/>
                <w:bCs/>
                <w:color w:val="000000" w:themeColor="text1"/>
                <w:sz w:val="18"/>
                <w:lang w:val="es"/>
              </w:rPr>
              <w:lastRenderedPageBreak/>
              <w:t>Relación entre actores</w:t>
            </w:r>
          </w:p>
        </w:tc>
        <w:tc>
          <w:tcPr>
            <w:tcW w:w="1921" w:type="pct"/>
            <w:shd w:val="clear" w:color="auto" w:fill="F2F2F2" w:themeFill="background1" w:themeFillShade="F2"/>
            <w:vAlign w:val="center"/>
          </w:tcPr>
          <w:p w14:paraId="19F00F16" w14:textId="77777777" w:rsidR="00A02774" w:rsidRPr="00A02774" w:rsidRDefault="00A02774" w:rsidP="00A02774">
            <w:pPr>
              <w:spacing w:after="0" w:line="240" w:lineRule="auto"/>
              <w:jc w:val="center"/>
              <w:rPr>
                <w:rFonts w:ascii="Arial" w:hAnsi="Arial" w:cs="Arial"/>
                <w:bCs/>
                <w:color w:val="000000" w:themeColor="text1"/>
                <w:sz w:val="18"/>
                <w:lang w:val="es"/>
              </w:rPr>
            </w:pPr>
            <w:r w:rsidRPr="00A02774">
              <w:rPr>
                <w:rFonts w:ascii="Arial" w:hAnsi="Arial" w:cs="Arial"/>
                <w:bCs/>
                <w:color w:val="000000" w:themeColor="text1"/>
                <w:sz w:val="18"/>
                <w:lang w:val="es"/>
              </w:rPr>
              <w:t>Contrato, competencia, tercerización</w:t>
            </w:r>
          </w:p>
        </w:tc>
        <w:tc>
          <w:tcPr>
            <w:tcW w:w="1809" w:type="pct"/>
            <w:shd w:val="clear" w:color="auto" w:fill="F2F2F2" w:themeFill="background1" w:themeFillShade="F2"/>
            <w:vAlign w:val="center"/>
          </w:tcPr>
          <w:p w14:paraId="297F8833" w14:textId="77777777" w:rsidR="00A02774" w:rsidRPr="00A02774" w:rsidRDefault="00A02774" w:rsidP="00A02774">
            <w:pPr>
              <w:spacing w:after="0" w:line="240" w:lineRule="auto"/>
              <w:jc w:val="center"/>
              <w:rPr>
                <w:rFonts w:ascii="Arial" w:hAnsi="Arial" w:cs="Arial"/>
                <w:bCs/>
                <w:color w:val="000000" w:themeColor="text1"/>
                <w:sz w:val="18"/>
                <w:lang w:val="es"/>
              </w:rPr>
            </w:pPr>
            <w:r w:rsidRPr="00A02774">
              <w:rPr>
                <w:rFonts w:ascii="Arial" w:hAnsi="Arial" w:cs="Arial"/>
                <w:bCs/>
                <w:color w:val="000000" w:themeColor="text1"/>
                <w:sz w:val="18"/>
                <w:lang w:val="es"/>
              </w:rPr>
              <w:t>Independencia, cooperación, redes dinámicas</w:t>
            </w:r>
          </w:p>
        </w:tc>
      </w:tr>
      <w:tr w:rsidR="00A02774" w:rsidRPr="00A02774" w14:paraId="29D0D90B" w14:textId="77777777" w:rsidTr="00A02774">
        <w:trPr>
          <w:trHeight w:val="510"/>
        </w:trPr>
        <w:tc>
          <w:tcPr>
            <w:tcW w:w="1270" w:type="pct"/>
            <w:vAlign w:val="center"/>
          </w:tcPr>
          <w:p w14:paraId="2DB3F963" w14:textId="77777777" w:rsidR="00A02774" w:rsidRPr="00A02774" w:rsidRDefault="00A02774" w:rsidP="00A02774">
            <w:pPr>
              <w:spacing w:after="0" w:line="240" w:lineRule="auto"/>
              <w:jc w:val="center"/>
              <w:rPr>
                <w:rFonts w:ascii="Arial" w:hAnsi="Arial" w:cs="Arial"/>
                <w:bCs/>
                <w:color w:val="000000" w:themeColor="text1"/>
                <w:sz w:val="18"/>
                <w:lang w:val="es"/>
              </w:rPr>
            </w:pPr>
            <w:r w:rsidRPr="00A02774">
              <w:rPr>
                <w:rFonts w:ascii="Arial" w:hAnsi="Arial" w:cs="Arial"/>
                <w:bCs/>
                <w:color w:val="000000" w:themeColor="text1"/>
                <w:sz w:val="18"/>
                <w:lang w:val="es"/>
              </w:rPr>
              <w:t>Modelo de decisión</w:t>
            </w:r>
          </w:p>
        </w:tc>
        <w:tc>
          <w:tcPr>
            <w:tcW w:w="1921" w:type="pct"/>
            <w:vAlign w:val="center"/>
          </w:tcPr>
          <w:p w14:paraId="6C7312BE" w14:textId="77777777" w:rsidR="00A02774" w:rsidRPr="00A02774" w:rsidRDefault="00A02774" w:rsidP="00A02774">
            <w:pPr>
              <w:spacing w:after="0" w:line="240" w:lineRule="auto"/>
              <w:jc w:val="center"/>
              <w:rPr>
                <w:rFonts w:ascii="Arial" w:hAnsi="Arial" w:cs="Arial"/>
                <w:bCs/>
                <w:color w:val="000000" w:themeColor="text1"/>
                <w:sz w:val="18"/>
                <w:lang w:val="es"/>
              </w:rPr>
            </w:pPr>
            <w:r w:rsidRPr="00A02774">
              <w:rPr>
                <w:rFonts w:ascii="Arial" w:hAnsi="Arial" w:cs="Arial"/>
                <w:bCs/>
                <w:color w:val="000000" w:themeColor="text1"/>
                <w:sz w:val="18"/>
                <w:lang w:val="es"/>
              </w:rPr>
              <w:t>Vertical, jerárquico, basado en metas definidas</w:t>
            </w:r>
          </w:p>
        </w:tc>
        <w:tc>
          <w:tcPr>
            <w:tcW w:w="1809" w:type="pct"/>
            <w:vAlign w:val="center"/>
          </w:tcPr>
          <w:p w14:paraId="15A303AE" w14:textId="77777777" w:rsidR="00A02774" w:rsidRPr="00A02774" w:rsidRDefault="00A02774" w:rsidP="00A02774">
            <w:pPr>
              <w:spacing w:after="0" w:line="240" w:lineRule="auto"/>
              <w:jc w:val="center"/>
              <w:rPr>
                <w:rFonts w:ascii="Arial" w:hAnsi="Arial" w:cs="Arial"/>
                <w:bCs/>
                <w:color w:val="000000" w:themeColor="text1"/>
                <w:sz w:val="18"/>
                <w:lang w:val="es"/>
              </w:rPr>
            </w:pPr>
            <w:r w:rsidRPr="00A02774">
              <w:rPr>
                <w:rFonts w:ascii="Arial" w:hAnsi="Arial" w:cs="Arial"/>
                <w:bCs/>
                <w:color w:val="000000" w:themeColor="text1"/>
                <w:sz w:val="18"/>
                <w:lang w:val="es"/>
              </w:rPr>
              <w:t>Horizontal, negociado, adaptativo</w:t>
            </w:r>
          </w:p>
        </w:tc>
      </w:tr>
      <w:tr w:rsidR="00A02774" w:rsidRPr="00A02774" w14:paraId="4016F2A8" w14:textId="77777777" w:rsidTr="00A02774">
        <w:trPr>
          <w:cnfStyle w:val="000000100000" w:firstRow="0" w:lastRow="0" w:firstColumn="0" w:lastColumn="0" w:oddVBand="0" w:evenVBand="0" w:oddHBand="1" w:evenHBand="0" w:firstRowFirstColumn="0" w:firstRowLastColumn="0" w:lastRowFirstColumn="0" w:lastRowLastColumn="0"/>
          <w:trHeight w:val="510"/>
        </w:trPr>
        <w:tc>
          <w:tcPr>
            <w:tcW w:w="1270" w:type="pct"/>
            <w:shd w:val="clear" w:color="auto" w:fill="F2F2F2" w:themeFill="background1" w:themeFillShade="F2"/>
            <w:vAlign w:val="center"/>
          </w:tcPr>
          <w:p w14:paraId="4C2342A1" w14:textId="77777777" w:rsidR="00A02774" w:rsidRPr="00A02774" w:rsidRDefault="00A02774" w:rsidP="00A02774">
            <w:pPr>
              <w:spacing w:after="0" w:line="240" w:lineRule="auto"/>
              <w:jc w:val="center"/>
              <w:rPr>
                <w:rFonts w:ascii="Arial" w:hAnsi="Arial" w:cs="Arial"/>
                <w:bCs/>
                <w:color w:val="000000" w:themeColor="text1"/>
                <w:sz w:val="18"/>
                <w:lang w:val="es"/>
              </w:rPr>
            </w:pPr>
            <w:r w:rsidRPr="00A02774">
              <w:rPr>
                <w:rFonts w:ascii="Arial" w:hAnsi="Arial" w:cs="Arial"/>
                <w:bCs/>
                <w:color w:val="000000" w:themeColor="text1"/>
                <w:sz w:val="18"/>
                <w:lang w:val="es"/>
              </w:rPr>
              <w:t>Solución de problemas</w:t>
            </w:r>
          </w:p>
        </w:tc>
        <w:tc>
          <w:tcPr>
            <w:tcW w:w="1921" w:type="pct"/>
            <w:shd w:val="clear" w:color="auto" w:fill="F2F2F2" w:themeFill="background1" w:themeFillShade="F2"/>
            <w:vAlign w:val="center"/>
          </w:tcPr>
          <w:p w14:paraId="7FBFE6D6" w14:textId="77777777" w:rsidR="00A02774" w:rsidRPr="00A02774" w:rsidRDefault="00A02774" w:rsidP="00A02774">
            <w:pPr>
              <w:spacing w:after="0" w:line="240" w:lineRule="auto"/>
              <w:jc w:val="center"/>
              <w:rPr>
                <w:rFonts w:ascii="Arial" w:hAnsi="Arial" w:cs="Arial"/>
                <w:bCs/>
                <w:color w:val="000000" w:themeColor="text1"/>
                <w:sz w:val="18"/>
                <w:lang w:val="es"/>
              </w:rPr>
            </w:pPr>
            <w:r w:rsidRPr="00A02774">
              <w:rPr>
                <w:rFonts w:ascii="Arial" w:hAnsi="Arial" w:cs="Arial"/>
                <w:bCs/>
                <w:color w:val="000000" w:themeColor="text1"/>
                <w:sz w:val="18"/>
                <w:lang w:val="es"/>
              </w:rPr>
              <w:t>Precisa y técnica</w:t>
            </w:r>
          </w:p>
        </w:tc>
        <w:tc>
          <w:tcPr>
            <w:tcW w:w="1809" w:type="pct"/>
            <w:shd w:val="clear" w:color="auto" w:fill="F2F2F2" w:themeFill="background1" w:themeFillShade="F2"/>
            <w:vAlign w:val="center"/>
          </w:tcPr>
          <w:p w14:paraId="0007A378" w14:textId="77777777" w:rsidR="00A02774" w:rsidRPr="00A02774" w:rsidRDefault="00A02774" w:rsidP="00A02774">
            <w:pPr>
              <w:spacing w:after="0" w:line="240" w:lineRule="auto"/>
              <w:jc w:val="center"/>
              <w:rPr>
                <w:rFonts w:ascii="Arial" w:hAnsi="Arial" w:cs="Arial"/>
                <w:bCs/>
                <w:color w:val="000000" w:themeColor="text1"/>
                <w:sz w:val="18"/>
                <w:lang w:val="es"/>
              </w:rPr>
            </w:pPr>
            <w:r w:rsidRPr="00A02774">
              <w:rPr>
                <w:rFonts w:ascii="Arial" w:hAnsi="Arial" w:cs="Arial"/>
                <w:bCs/>
                <w:color w:val="000000" w:themeColor="text1"/>
                <w:sz w:val="18"/>
                <w:lang w:val="es"/>
              </w:rPr>
              <w:t>Emergentemente construida entre múltiples actores</w:t>
            </w:r>
          </w:p>
        </w:tc>
      </w:tr>
      <w:tr w:rsidR="00A02774" w:rsidRPr="00A02774" w14:paraId="6473FFA2" w14:textId="77777777" w:rsidTr="00A02774">
        <w:trPr>
          <w:trHeight w:val="340"/>
        </w:trPr>
        <w:tc>
          <w:tcPr>
            <w:tcW w:w="1270" w:type="pct"/>
            <w:vAlign w:val="center"/>
          </w:tcPr>
          <w:p w14:paraId="4B67FC7C" w14:textId="77777777" w:rsidR="00A02774" w:rsidRPr="00A02774" w:rsidRDefault="00A02774" w:rsidP="00A02774">
            <w:pPr>
              <w:spacing w:after="0" w:line="240" w:lineRule="auto"/>
              <w:jc w:val="center"/>
              <w:rPr>
                <w:rFonts w:ascii="Arial" w:hAnsi="Arial" w:cs="Arial"/>
                <w:bCs/>
                <w:color w:val="000000" w:themeColor="text1"/>
                <w:sz w:val="18"/>
                <w:lang w:val="es"/>
              </w:rPr>
            </w:pPr>
            <w:r w:rsidRPr="00A02774">
              <w:rPr>
                <w:rFonts w:ascii="Arial" w:hAnsi="Arial" w:cs="Arial"/>
                <w:bCs/>
                <w:color w:val="000000" w:themeColor="text1"/>
                <w:sz w:val="18"/>
                <w:lang w:val="es"/>
              </w:rPr>
              <w:t>Rol del Estado</w:t>
            </w:r>
          </w:p>
        </w:tc>
        <w:tc>
          <w:tcPr>
            <w:tcW w:w="1921" w:type="pct"/>
            <w:vAlign w:val="center"/>
          </w:tcPr>
          <w:p w14:paraId="6F4E0646" w14:textId="77777777" w:rsidR="00A02774" w:rsidRPr="00A02774" w:rsidRDefault="00A02774" w:rsidP="00A02774">
            <w:pPr>
              <w:spacing w:after="0" w:line="240" w:lineRule="auto"/>
              <w:jc w:val="center"/>
              <w:rPr>
                <w:rFonts w:ascii="Arial" w:hAnsi="Arial" w:cs="Arial"/>
                <w:bCs/>
                <w:color w:val="000000" w:themeColor="text1"/>
                <w:sz w:val="18"/>
                <w:lang w:val="es"/>
              </w:rPr>
            </w:pPr>
            <w:r w:rsidRPr="00A02774">
              <w:rPr>
                <w:rFonts w:ascii="Arial" w:hAnsi="Arial" w:cs="Arial"/>
                <w:bCs/>
                <w:color w:val="000000" w:themeColor="text1"/>
                <w:sz w:val="18"/>
                <w:lang w:val="es"/>
              </w:rPr>
              <w:t>Regulador y evaluador</w:t>
            </w:r>
          </w:p>
        </w:tc>
        <w:tc>
          <w:tcPr>
            <w:tcW w:w="1809" w:type="pct"/>
            <w:vAlign w:val="center"/>
          </w:tcPr>
          <w:p w14:paraId="1F53947B" w14:textId="77777777" w:rsidR="00A02774" w:rsidRPr="00A02774" w:rsidRDefault="00A02774" w:rsidP="00A02774">
            <w:pPr>
              <w:spacing w:after="0" w:line="240" w:lineRule="auto"/>
              <w:jc w:val="center"/>
              <w:rPr>
                <w:rFonts w:ascii="Arial" w:hAnsi="Arial" w:cs="Arial"/>
                <w:bCs/>
                <w:color w:val="000000" w:themeColor="text1"/>
                <w:sz w:val="18"/>
                <w:lang w:val="es"/>
              </w:rPr>
            </w:pPr>
            <w:r w:rsidRPr="00A02774">
              <w:rPr>
                <w:rFonts w:ascii="Arial" w:hAnsi="Arial" w:cs="Arial"/>
                <w:bCs/>
                <w:color w:val="000000" w:themeColor="text1"/>
                <w:sz w:val="18"/>
                <w:lang w:val="es"/>
              </w:rPr>
              <w:t>Facilitador y articulador</w:t>
            </w:r>
          </w:p>
        </w:tc>
      </w:tr>
      <w:tr w:rsidR="00A02774" w:rsidRPr="00A02774" w14:paraId="43CBBEA1" w14:textId="77777777" w:rsidTr="00A02774">
        <w:trPr>
          <w:cnfStyle w:val="000000100000" w:firstRow="0" w:lastRow="0" w:firstColumn="0" w:lastColumn="0" w:oddVBand="0" w:evenVBand="0" w:oddHBand="1" w:evenHBand="0" w:firstRowFirstColumn="0" w:firstRowLastColumn="0" w:lastRowFirstColumn="0" w:lastRowLastColumn="0"/>
          <w:trHeight w:val="510"/>
        </w:trPr>
        <w:tc>
          <w:tcPr>
            <w:tcW w:w="1270" w:type="pct"/>
            <w:shd w:val="clear" w:color="auto" w:fill="F2F2F2" w:themeFill="background1" w:themeFillShade="F2"/>
            <w:vAlign w:val="center"/>
          </w:tcPr>
          <w:p w14:paraId="5122D898" w14:textId="77777777" w:rsidR="00A02774" w:rsidRPr="00A02774" w:rsidRDefault="00A02774" w:rsidP="00A02774">
            <w:pPr>
              <w:spacing w:after="0" w:line="240" w:lineRule="auto"/>
              <w:jc w:val="center"/>
              <w:rPr>
                <w:rFonts w:ascii="Arial" w:hAnsi="Arial" w:cs="Arial"/>
                <w:bCs/>
                <w:color w:val="000000" w:themeColor="text1"/>
                <w:sz w:val="18"/>
                <w:lang w:val="es"/>
              </w:rPr>
            </w:pPr>
            <w:r w:rsidRPr="00A02774">
              <w:rPr>
                <w:rFonts w:ascii="Arial" w:hAnsi="Arial" w:cs="Arial"/>
                <w:bCs/>
                <w:color w:val="000000" w:themeColor="text1"/>
                <w:sz w:val="18"/>
                <w:lang w:val="es"/>
              </w:rPr>
              <w:t>Condiciones de éxito</w:t>
            </w:r>
          </w:p>
        </w:tc>
        <w:tc>
          <w:tcPr>
            <w:tcW w:w="1921" w:type="pct"/>
            <w:shd w:val="clear" w:color="auto" w:fill="F2F2F2" w:themeFill="background1" w:themeFillShade="F2"/>
            <w:vAlign w:val="center"/>
          </w:tcPr>
          <w:p w14:paraId="40DC2AE4" w14:textId="77777777" w:rsidR="00A02774" w:rsidRPr="00A02774" w:rsidRDefault="00A02774" w:rsidP="00A02774">
            <w:pPr>
              <w:spacing w:after="0" w:line="240" w:lineRule="auto"/>
              <w:jc w:val="center"/>
              <w:rPr>
                <w:rFonts w:ascii="Arial" w:hAnsi="Arial" w:cs="Arial"/>
                <w:bCs/>
                <w:color w:val="000000" w:themeColor="text1"/>
                <w:sz w:val="18"/>
                <w:lang w:val="es"/>
              </w:rPr>
            </w:pPr>
            <w:r w:rsidRPr="00A02774">
              <w:rPr>
                <w:rFonts w:ascii="Arial" w:hAnsi="Arial" w:cs="Arial"/>
                <w:bCs/>
                <w:color w:val="000000" w:themeColor="text1"/>
                <w:sz w:val="18"/>
                <w:lang w:val="es"/>
              </w:rPr>
              <w:t>Objetivos claros, seguimiento, contratos</w:t>
            </w:r>
          </w:p>
        </w:tc>
        <w:tc>
          <w:tcPr>
            <w:tcW w:w="1809" w:type="pct"/>
            <w:shd w:val="clear" w:color="auto" w:fill="F2F2F2" w:themeFill="background1" w:themeFillShade="F2"/>
            <w:vAlign w:val="center"/>
          </w:tcPr>
          <w:p w14:paraId="59664757" w14:textId="77777777" w:rsidR="00A02774" w:rsidRPr="00A02774" w:rsidRDefault="00A02774" w:rsidP="00A02774">
            <w:pPr>
              <w:spacing w:after="0" w:line="240" w:lineRule="auto"/>
              <w:jc w:val="center"/>
              <w:rPr>
                <w:rFonts w:ascii="Arial" w:hAnsi="Arial" w:cs="Arial"/>
                <w:bCs/>
                <w:color w:val="000000" w:themeColor="text1"/>
                <w:sz w:val="18"/>
                <w:lang w:val="es"/>
              </w:rPr>
            </w:pPr>
            <w:r w:rsidRPr="00A02774">
              <w:rPr>
                <w:rFonts w:ascii="Arial" w:hAnsi="Arial" w:cs="Arial"/>
                <w:bCs/>
                <w:color w:val="000000" w:themeColor="text1"/>
                <w:sz w:val="18"/>
                <w:lang w:val="es"/>
              </w:rPr>
              <w:t>Participación activa, coordinación horizontal</w:t>
            </w:r>
          </w:p>
        </w:tc>
      </w:tr>
    </w:tbl>
    <w:p w14:paraId="17A198FA" w14:textId="77777777" w:rsidR="00A02774" w:rsidRDefault="00A02774" w:rsidP="00A02774">
      <w:pPr>
        <w:spacing w:after="0" w:line="240" w:lineRule="auto"/>
        <w:jc w:val="both"/>
        <w:rPr>
          <w:rFonts w:ascii="Arial" w:hAnsi="Arial" w:cs="Arial"/>
          <w:b/>
          <w:bCs/>
          <w:color w:val="000000" w:themeColor="text1"/>
          <w:sz w:val="20"/>
          <w:lang w:val="es"/>
        </w:rPr>
      </w:pPr>
    </w:p>
    <w:p w14:paraId="7A5D0126" w14:textId="785C713F" w:rsidR="00A02774" w:rsidRPr="00A02774" w:rsidRDefault="00A02774" w:rsidP="00A02774">
      <w:pPr>
        <w:spacing w:after="0" w:line="240" w:lineRule="auto"/>
        <w:jc w:val="center"/>
        <w:rPr>
          <w:rFonts w:ascii="Arial" w:hAnsi="Arial" w:cs="Arial"/>
          <w:bCs/>
          <w:color w:val="000000" w:themeColor="text1"/>
          <w:sz w:val="18"/>
          <w:lang w:val="es"/>
        </w:rPr>
      </w:pPr>
      <w:r w:rsidRPr="00A02774">
        <w:rPr>
          <w:rFonts w:ascii="Arial" w:hAnsi="Arial" w:cs="Arial"/>
          <w:b/>
          <w:bCs/>
          <w:color w:val="000000" w:themeColor="text1"/>
          <w:sz w:val="18"/>
          <w:lang w:val="es"/>
        </w:rPr>
        <w:t xml:space="preserve">Fuente. </w:t>
      </w:r>
      <w:r w:rsidRPr="00A02774">
        <w:rPr>
          <w:rFonts w:ascii="Arial" w:hAnsi="Arial" w:cs="Arial"/>
          <w:bCs/>
          <w:color w:val="000000" w:themeColor="text1"/>
          <w:sz w:val="18"/>
          <w:lang w:val="es"/>
        </w:rPr>
        <w:t>Adaptado de Cárdenas et al. (2020)</w:t>
      </w:r>
    </w:p>
    <w:p w14:paraId="0D716D4F" w14:textId="674267FF" w:rsidR="00A02774" w:rsidRDefault="00A02774" w:rsidP="00A02774">
      <w:pPr>
        <w:spacing w:after="0" w:line="240" w:lineRule="auto"/>
        <w:jc w:val="both"/>
        <w:rPr>
          <w:rFonts w:ascii="Arial" w:hAnsi="Arial" w:cs="Arial"/>
          <w:bCs/>
          <w:color w:val="000000" w:themeColor="text1"/>
          <w:sz w:val="20"/>
          <w:lang w:val="es"/>
        </w:rPr>
      </w:pPr>
    </w:p>
    <w:p w14:paraId="4F5B4F54" w14:textId="77777777" w:rsidR="00A02774" w:rsidRPr="00A02774" w:rsidRDefault="00A02774" w:rsidP="00A02774">
      <w:pPr>
        <w:spacing w:after="0" w:line="240" w:lineRule="auto"/>
        <w:ind w:firstLine="709"/>
        <w:jc w:val="both"/>
        <w:rPr>
          <w:rFonts w:ascii="Arial" w:hAnsi="Arial" w:cs="Arial"/>
          <w:bCs/>
          <w:color w:val="000000" w:themeColor="text1"/>
          <w:sz w:val="20"/>
          <w:lang w:val="es-MX"/>
        </w:rPr>
      </w:pPr>
      <w:r w:rsidRPr="00A02774">
        <w:rPr>
          <w:rFonts w:ascii="Arial" w:hAnsi="Arial" w:cs="Arial"/>
          <w:bCs/>
          <w:color w:val="000000" w:themeColor="text1"/>
          <w:sz w:val="20"/>
          <w:lang w:val="es-MX"/>
        </w:rPr>
        <w:t>Los modelos innovadores de gobernanza pública surgen, en contraste, como una alternativa para reconfigurar la relación entre el Estado y la ciudadanía, apostando por redes de actores que dialogan, negocian y coproducen valor público (Jia et al., 2019; Falcão et al., 2017). Así, el desafío no es únicamente técnico, sino también político y cultural: se trata de construir capacidades institucionales que promuevan la horizontalidad sin perder la dirección estratégica, además de garantizar que esa apertura se traduzca en legitimidad y resultados efectivos (Dandan, 2024; Bason &amp; Austin, 2021).</w:t>
      </w:r>
    </w:p>
    <w:p w14:paraId="7CFF3615" w14:textId="77777777" w:rsidR="00A02774" w:rsidRPr="00A02774" w:rsidRDefault="00A02774" w:rsidP="00A02774">
      <w:pPr>
        <w:spacing w:after="0" w:line="240" w:lineRule="auto"/>
        <w:ind w:firstLine="709"/>
        <w:jc w:val="both"/>
        <w:rPr>
          <w:rFonts w:ascii="Arial" w:hAnsi="Arial" w:cs="Arial"/>
          <w:bCs/>
          <w:color w:val="000000" w:themeColor="text1"/>
          <w:sz w:val="20"/>
          <w:lang w:val="es-MX"/>
        </w:rPr>
      </w:pPr>
      <w:r w:rsidRPr="00A02774">
        <w:rPr>
          <w:rFonts w:ascii="Arial" w:hAnsi="Arial" w:cs="Arial"/>
          <w:bCs/>
          <w:color w:val="000000" w:themeColor="text1"/>
          <w:sz w:val="20"/>
          <w:lang w:val="es-MX"/>
        </w:rPr>
        <w:t>Para ello, la gobernanza debe contar con un marco relacional e institucional que asegure la autonomía de las organizaciones civiles y defina con claridad quiénes participan en la formulación e implementación de políticas públicas, así como los niveles de colaboración entre actores públicos y sociales (McMullin, 2019; Cárdenas et al., 2020). El fortalecimiento de esta normativa mejora la inclusión y la transparencia, al tiempo que potencia el impacto del gasto público.</w:t>
      </w:r>
    </w:p>
    <w:p w14:paraId="65CACB66" w14:textId="77777777" w:rsidR="00A02774" w:rsidRPr="00A02774" w:rsidRDefault="00A02774" w:rsidP="00A02774">
      <w:pPr>
        <w:spacing w:after="0" w:line="240" w:lineRule="auto"/>
        <w:ind w:firstLine="709"/>
        <w:jc w:val="both"/>
        <w:rPr>
          <w:rFonts w:ascii="Arial" w:hAnsi="Arial" w:cs="Arial"/>
          <w:bCs/>
          <w:color w:val="000000" w:themeColor="text1"/>
          <w:sz w:val="20"/>
          <w:lang w:val="es-MX"/>
        </w:rPr>
      </w:pPr>
      <w:r w:rsidRPr="00A02774">
        <w:rPr>
          <w:rFonts w:ascii="Arial" w:hAnsi="Arial" w:cs="Arial"/>
          <w:bCs/>
          <w:color w:val="000000" w:themeColor="text1"/>
          <w:sz w:val="20"/>
          <w:lang w:val="es-MX"/>
        </w:rPr>
        <w:t>La buena gobernanza, concebida como una estrategia para fortalecer el tejido institucional, busca redistribuir recursos de manera justa y generar impactos sostenibles en áreas clave como salud y educación. El verdadero reto consiste en ir más allá del discurso, institucionalizando mecanismos efectivos de participación, transparencia y control que conviertan al ciudadano en un agente activo del desarrollo y no solo en receptor pasivo de políticas (Bason &amp; Austin, 2021; Idzi &amp; Correa, 2022).</w:t>
      </w:r>
    </w:p>
    <w:p w14:paraId="2FE9E6FD" w14:textId="77777777" w:rsidR="00A02774" w:rsidRPr="00A02774" w:rsidRDefault="00A02774" w:rsidP="00A02774">
      <w:pPr>
        <w:spacing w:after="0" w:line="240" w:lineRule="auto"/>
        <w:ind w:firstLine="709"/>
        <w:jc w:val="both"/>
        <w:rPr>
          <w:rFonts w:ascii="Arial" w:hAnsi="Arial" w:cs="Arial"/>
          <w:bCs/>
          <w:color w:val="000000" w:themeColor="text1"/>
          <w:sz w:val="20"/>
          <w:lang w:val="es-MX"/>
        </w:rPr>
      </w:pPr>
      <w:r w:rsidRPr="00A02774">
        <w:rPr>
          <w:rFonts w:ascii="Arial" w:hAnsi="Arial" w:cs="Arial"/>
          <w:bCs/>
          <w:color w:val="000000" w:themeColor="text1"/>
          <w:sz w:val="20"/>
          <w:lang w:val="es-MX"/>
        </w:rPr>
        <w:t>Para lograr ese impacto, la gobernanza debe transitar hacia un modelo basado en los bienes comunes, superando esquemas con lógicas gerenciales centradas en el mercado y la propiedad privada (Falcão et al., 2017; Cárdenas et al., 2020). Así, el Estado deja de ser solo un regulador del mercado para convertirse en un socio cooperativo que impulsa la gobernanza colaborativa, provee infraestructura pública, subsidia redes comunitarias y respalda marcos legales que favorecen la producción descentralizada (Blanco, 2024; Alqooti, 2020).</w:t>
      </w:r>
    </w:p>
    <w:p w14:paraId="3B4F5712" w14:textId="77777777" w:rsidR="00A02774" w:rsidRPr="00A02774" w:rsidRDefault="00A02774" w:rsidP="00A02774">
      <w:pPr>
        <w:spacing w:after="0" w:line="240" w:lineRule="auto"/>
        <w:ind w:firstLine="709"/>
        <w:jc w:val="both"/>
        <w:rPr>
          <w:rFonts w:ascii="Arial" w:hAnsi="Arial" w:cs="Arial"/>
          <w:bCs/>
          <w:color w:val="000000" w:themeColor="text1"/>
          <w:sz w:val="20"/>
          <w:lang w:val="es-MX"/>
        </w:rPr>
      </w:pPr>
      <w:r w:rsidRPr="00A02774">
        <w:rPr>
          <w:rFonts w:ascii="Arial" w:hAnsi="Arial" w:cs="Arial"/>
          <w:bCs/>
          <w:color w:val="000000" w:themeColor="text1"/>
          <w:sz w:val="20"/>
          <w:lang w:val="es-MX"/>
        </w:rPr>
        <w:t>Esta transición implica también reconfigurar el aparato de gestión pública para facilitar decisiones horizontales, autónomas y transparentes en las comunidades, implementando mecanismos de predistribución de riqueza y acceso equitativo a recursos públicos. Además, este enfoque impulsa la participación ciudadana en medidas innovadoras (Giotitsas et al., 2020).</w:t>
      </w:r>
    </w:p>
    <w:p w14:paraId="6DCC1B3D" w14:textId="1648AD76" w:rsidR="00A02774" w:rsidRPr="00A02774" w:rsidRDefault="00A02774" w:rsidP="00A02774">
      <w:pPr>
        <w:spacing w:after="0" w:line="240" w:lineRule="auto"/>
        <w:ind w:firstLine="709"/>
        <w:jc w:val="both"/>
        <w:rPr>
          <w:rFonts w:ascii="Arial" w:hAnsi="Arial" w:cs="Arial"/>
          <w:bCs/>
          <w:color w:val="000000" w:themeColor="text1"/>
          <w:sz w:val="20"/>
          <w:lang w:val="es-MX"/>
        </w:rPr>
      </w:pPr>
      <w:r w:rsidRPr="00A02774">
        <w:rPr>
          <w:rFonts w:ascii="Arial" w:hAnsi="Arial" w:cs="Arial"/>
          <w:bCs/>
          <w:color w:val="000000" w:themeColor="text1"/>
          <w:sz w:val="20"/>
          <w:lang w:val="es-MX"/>
        </w:rPr>
        <w:t xml:space="preserve">Por otra parte, el modelo de gobernanza digital supera la lógica empresarial fragmentada </w:t>
      </w:r>
      <w:r>
        <w:rPr>
          <w:rFonts w:ascii="Arial" w:hAnsi="Arial" w:cs="Arial"/>
          <w:bCs/>
          <w:color w:val="000000" w:themeColor="text1"/>
          <w:sz w:val="20"/>
          <w:lang w:val="es-MX"/>
        </w:rPr>
        <w:t>e</w:t>
      </w:r>
      <w:r w:rsidRPr="00A02774">
        <w:rPr>
          <w:rFonts w:ascii="Arial" w:hAnsi="Arial" w:cs="Arial"/>
          <w:bCs/>
          <w:color w:val="000000" w:themeColor="text1"/>
          <w:sz w:val="20"/>
          <w:lang w:val="es-MX"/>
        </w:rPr>
        <w:t xml:space="preserve"> individualista (Mendoza-Marrufo &amp; Baylon-Salvador, 2024). Este paradigma se orienta hacia la reintegración de servicios públicos, el holismo institucional y la transformación digital, estructurándose a partir de un centro inteligente con entrega descentralizada, uso de </w:t>
      </w:r>
      <w:r w:rsidRPr="00A02774">
        <w:rPr>
          <w:rFonts w:ascii="Arial" w:hAnsi="Arial" w:cs="Arial"/>
          <w:bCs/>
          <w:i/>
          <w:color w:val="000000" w:themeColor="text1"/>
          <w:sz w:val="20"/>
          <w:lang w:val="es-MX"/>
        </w:rPr>
        <w:t>big data</w:t>
      </w:r>
      <w:r w:rsidRPr="00A02774">
        <w:rPr>
          <w:rFonts w:ascii="Arial" w:hAnsi="Arial" w:cs="Arial"/>
          <w:bCs/>
          <w:color w:val="000000" w:themeColor="text1"/>
          <w:sz w:val="20"/>
          <w:lang w:val="es-MX"/>
        </w:rPr>
        <w:t xml:space="preserve"> y analítica predictiva para una toma de decisiones más flexible y eficiente, sistemas integrados de impuestos y beneficios sociales, y el enfoque de gobierno abierto que garantiza transparencia y acceso en tiempo real a bases de datos estatales (Idzi &amp; Correa, 2022; Jia et al., 2019).</w:t>
      </w:r>
    </w:p>
    <w:p w14:paraId="4A3DDADC" w14:textId="77777777" w:rsidR="00A02774" w:rsidRPr="00A02774" w:rsidRDefault="00A02774" w:rsidP="00A02774">
      <w:pPr>
        <w:spacing w:after="0" w:line="240" w:lineRule="auto"/>
        <w:ind w:firstLine="709"/>
        <w:jc w:val="both"/>
        <w:rPr>
          <w:rFonts w:ascii="Arial" w:hAnsi="Arial" w:cs="Arial"/>
          <w:bCs/>
          <w:color w:val="000000" w:themeColor="text1"/>
          <w:sz w:val="20"/>
          <w:lang w:val="es-MX"/>
        </w:rPr>
      </w:pPr>
      <w:r w:rsidRPr="00A02774">
        <w:rPr>
          <w:rFonts w:ascii="Arial" w:hAnsi="Arial" w:cs="Arial"/>
          <w:bCs/>
          <w:color w:val="000000" w:themeColor="text1"/>
          <w:sz w:val="20"/>
          <w:lang w:val="es-MX"/>
        </w:rPr>
        <w:t>Este modelo se sustenta en las tecnologías de la información y la comunicación (TIC), concebidas como herramientas estratégicas para mejorar la relación Estado-ciudadanía y cumplir con principios constitucionales de celeridad, eficacia y economía (Blanco, 2024; Prasad, 2024). En este contexto, la gobernanza pública tradicional muestra ser insuficiente para enfrentar las demandas actuales.</w:t>
      </w:r>
    </w:p>
    <w:p w14:paraId="420212BF" w14:textId="77777777" w:rsidR="00A02774" w:rsidRPr="00A02774" w:rsidRDefault="00A02774" w:rsidP="00A02774">
      <w:pPr>
        <w:spacing w:after="0" w:line="240" w:lineRule="auto"/>
        <w:ind w:firstLine="709"/>
        <w:jc w:val="both"/>
        <w:rPr>
          <w:rFonts w:ascii="Arial" w:hAnsi="Arial" w:cs="Arial"/>
          <w:bCs/>
          <w:color w:val="000000" w:themeColor="text1"/>
          <w:sz w:val="20"/>
          <w:lang w:val="es-MX"/>
        </w:rPr>
      </w:pPr>
      <w:r w:rsidRPr="00A02774">
        <w:rPr>
          <w:rFonts w:ascii="Arial" w:hAnsi="Arial" w:cs="Arial"/>
          <w:bCs/>
          <w:color w:val="000000" w:themeColor="text1"/>
          <w:sz w:val="20"/>
          <w:lang w:val="es-MX"/>
        </w:rPr>
        <w:t>En consecuencia, se propone un paradigma alternativo: la gobernanza abierta. Este modelo, caracterizado por la colaboración masiva y descentralizada entre ciudadanos, ONG’s, empresas, plataformas digitales y gobiernos, resulta especialmente adecuado para los cambios impulsados por el uso intensivo de tecnologías digitales (Meijer et al., 2019; Blanco, 2024; Cárdenas et al., 2020).</w:t>
      </w:r>
    </w:p>
    <w:p w14:paraId="649607A5" w14:textId="77777777" w:rsidR="00A02774" w:rsidRPr="00A02774" w:rsidRDefault="00A02774" w:rsidP="00A02774">
      <w:pPr>
        <w:spacing w:after="0" w:line="240" w:lineRule="auto"/>
        <w:ind w:firstLine="709"/>
        <w:jc w:val="both"/>
        <w:rPr>
          <w:rFonts w:ascii="Arial" w:hAnsi="Arial" w:cs="Arial"/>
          <w:bCs/>
          <w:color w:val="000000" w:themeColor="text1"/>
          <w:sz w:val="20"/>
          <w:lang w:val="es-MX"/>
        </w:rPr>
      </w:pPr>
      <w:r w:rsidRPr="00A02774">
        <w:rPr>
          <w:rFonts w:ascii="Arial" w:hAnsi="Arial" w:cs="Arial"/>
          <w:bCs/>
          <w:color w:val="000000" w:themeColor="text1"/>
          <w:sz w:val="20"/>
          <w:lang w:val="es-MX"/>
        </w:rPr>
        <w:t xml:space="preserve">Asimismo, destaca por ser un modelo participativo eficaz cuando supera la mera consulta ciudadana y se establece una interacción real y constante entre gobernados y gobernantes (Dandan, 2024). La falta de esta </w:t>
      </w:r>
      <w:r w:rsidRPr="00A02774">
        <w:rPr>
          <w:rFonts w:ascii="Arial" w:hAnsi="Arial" w:cs="Arial"/>
          <w:bCs/>
          <w:color w:val="000000" w:themeColor="text1"/>
          <w:sz w:val="20"/>
          <w:lang w:val="es-MX"/>
        </w:rPr>
        <w:lastRenderedPageBreak/>
        <w:t>interactividad se relaciona directamente con bajos niveles de satisfacción respecto a los servicios públicos, especialmente en zonas rurales (Mercado-Marrufo &amp; Baylon-Salvador, 2024).</w:t>
      </w:r>
    </w:p>
    <w:p w14:paraId="6AB0321C" w14:textId="77777777" w:rsidR="00A02774" w:rsidRPr="00A02774" w:rsidRDefault="00A02774" w:rsidP="00A02774">
      <w:pPr>
        <w:spacing w:after="0" w:line="240" w:lineRule="auto"/>
        <w:ind w:firstLine="709"/>
        <w:jc w:val="both"/>
        <w:rPr>
          <w:rFonts w:ascii="Arial" w:hAnsi="Arial" w:cs="Arial"/>
          <w:bCs/>
          <w:color w:val="000000" w:themeColor="text1"/>
          <w:sz w:val="20"/>
          <w:lang w:val="es-MX"/>
        </w:rPr>
      </w:pPr>
      <w:r w:rsidRPr="00A02774">
        <w:rPr>
          <w:rFonts w:ascii="Arial" w:hAnsi="Arial" w:cs="Arial"/>
          <w:bCs/>
          <w:color w:val="000000" w:themeColor="text1"/>
          <w:sz w:val="20"/>
          <w:lang w:val="es-MX"/>
        </w:rPr>
        <w:t>Además, existe el modelo de gobernanza exploratoria, fundamentado en la transformación de procesos mediante la incorporación de expertos y el desarrollo constante de la inteligencia humana. Este modelo se sostiene en pilares como la estrategia pública, el talento e inteligencia, la estructura organizacional, la evaluación de impacto, la innovación abierta y la rendición de cuentas avanzada (Longo, 2020).</w:t>
      </w:r>
    </w:p>
    <w:p w14:paraId="047F4EF7" w14:textId="77777777" w:rsidR="00A02774" w:rsidRPr="00A02774" w:rsidRDefault="00A02774" w:rsidP="00A02774">
      <w:pPr>
        <w:spacing w:after="0" w:line="240" w:lineRule="auto"/>
        <w:ind w:firstLine="709"/>
        <w:jc w:val="both"/>
        <w:rPr>
          <w:rFonts w:ascii="Arial" w:hAnsi="Arial" w:cs="Arial"/>
          <w:bCs/>
          <w:color w:val="000000" w:themeColor="text1"/>
          <w:sz w:val="20"/>
          <w:lang w:val="es-MX"/>
        </w:rPr>
      </w:pPr>
      <w:r w:rsidRPr="00A02774">
        <w:rPr>
          <w:rFonts w:ascii="Arial" w:hAnsi="Arial" w:cs="Arial"/>
          <w:bCs/>
          <w:color w:val="000000" w:themeColor="text1"/>
          <w:sz w:val="20"/>
          <w:lang w:val="es-MX"/>
        </w:rPr>
        <w:t>Así, se evidencia un cambio paradigmático en la gestión pública, en el cual el Estado deja atrás su rol rígido y controlado para convertirse en una organización flexible, orientada al aprendizaje y centrada en resultados que generan impacto social. Cada dimensión refleja la necesidad de adaptarse a un entorno complejo y en constante cambio, donde la colaboración, la inteligencia colectiva y la experimentación son elementales (Falcão et al., 2017; Massey &amp; Johnston-Miller, 2016).</w:t>
      </w:r>
    </w:p>
    <w:p w14:paraId="230517B3" w14:textId="77777777" w:rsidR="00A02774" w:rsidRPr="00A02774" w:rsidRDefault="00A02774" w:rsidP="00A02774">
      <w:pPr>
        <w:spacing w:after="0" w:line="240" w:lineRule="auto"/>
        <w:ind w:firstLine="709"/>
        <w:jc w:val="both"/>
        <w:rPr>
          <w:rFonts w:ascii="Arial" w:hAnsi="Arial" w:cs="Arial"/>
          <w:bCs/>
          <w:color w:val="000000" w:themeColor="text1"/>
          <w:sz w:val="20"/>
          <w:lang w:val="es-MX"/>
        </w:rPr>
      </w:pPr>
      <w:r w:rsidRPr="00A02774">
        <w:rPr>
          <w:rFonts w:ascii="Arial" w:hAnsi="Arial" w:cs="Arial"/>
          <w:bCs/>
          <w:color w:val="000000" w:themeColor="text1"/>
          <w:sz w:val="20"/>
          <w:lang w:val="es-MX"/>
        </w:rPr>
        <w:t>El modelo de gobernanza emergente sitúa al usuario en el centro, reconociendo que las políticas públicas deben responder directamente a las necesidades y expectativas ciudadanas (Rodríguez, 2015; Testi et al., 2025). Esto implica crear estructuras burocráticas más sensibles, adaptables y alineadas con los objetivos colectivos para promover una gestión pública enfocada en el servicio y no solo en el cumplimiento formal.</w:t>
      </w:r>
    </w:p>
    <w:p w14:paraId="156AE9D3" w14:textId="584CF461" w:rsidR="00A02774" w:rsidRDefault="00A02774" w:rsidP="00A02774">
      <w:pPr>
        <w:spacing w:after="0" w:line="240" w:lineRule="auto"/>
        <w:ind w:firstLine="709"/>
        <w:jc w:val="both"/>
        <w:rPr>
          <w:rFonts w:ascii="Arial" w:hAnsi="Arial" w:cs="Arial"/>
          <w:bCs/>
          <w:color w:val="000000" w:themeColor="text1"/>
          <w:sz w:val="20"/>
          <w:lang w:val="es-MX"/>
        </w:rPr>
      </w:pPr>
      <w:r w:rsidRPr="00A02774">
        <w:rPr>
          <w:rFonts w:ascii="Arial" w:hAnsi="Arial" w:cs="Arial"/>
          <w:bCs/>
          <w:color w:val="000000" w:themeColor="text1"/>
          <w:sz w:val="20"/>
          <w:lang w:val="es-MX"/>
        </w:rPr>
        <w:t>Finalmente, el avance de la ciencia y la tecnología demanda marcos regulatorios dinámicos que acompañen su impacto en la transformación social. No obstante, estos marcos suelen ajustarse lentamente, dificultando una comprensión oportuna de los cambios generados (Dandan, 2024; Prasad, 2024). En este contexto, la gobernanza inteligente emerge como una respuesta innovadora para mejorar el acceso a servicios mediante plataformas digitales; sin embargo, enfrenta retos significativos como el desinterés político, la resistencia institucional y la baja apropiación tecnológica por parte de la ciudadanía (Mercado-Marrufo &amp; Baylon-Salvador, 2024).</w:t>
      </w:r>
    </w:p>
    <w:p w14:paraId="1B482055" w14:textId="58D91D1A" w:rsidR="00A02774" w:rsidRDefault="00A02774" w:rsidP="00A02774">
      <w:pPr>
        <w:spacing w:after="0" w:line="240" w:lineRule="auto"/>
        <w:jc w:val="both"/>
        <w:rPr>
          <w:rFonts w:ascii="Arial" w:hAnsi="Arial" w:cs="Arial"/>
          <w:bCs/>
          <w:color w:val="000000" w:themeColor="text1"/>
          <w:sz w:val="20"/>
          <w:lang w:val="es-MX"/>
        </w:rPr>
      </w:pPr>
    </w:p>
    <w:p w14:paraId="6EC2654D" w14:textId="77777777" w:rsidR="00A02774" w:rsidRPr="00A02774" w:rsidRDefault="00A02774" w:rsidP="00A02774">
      <w:pPr>
        <w:spacing w:after="0" w:line="240" w:lineRule="auto"/>
        <w:jc w:val="both"/>
        <w:rPr>
          <w:rFonts w:ascii="Century Gothic" w:hAnsi="Century Gothic" w:cs="Arial"/>
          <w:b/>
          <w:bCs/>
          <w:color w:val="000000" w:themeColor="text1"/>
          <w:lang w:val="es-MX"/>
        </w:rPr>
      </w:pPr>
      <w:r w:rsidRPr="00A02774">
        <w:rPr>
          <w:rFonts w:ascii="Century Gothic" w:hAnsi="Century Gothic" w:cs="Arial"/>
          <w:b/>
          <w:bCs/>
          <w:color w:val="000000" w:themeColor="text1"/>
          <w:lang w:val="es-MX"/>
        </w:rPr>
        <w:t>Conclusiones</w:t>
      </w:r>
    </w:p>
    <w:p w14:paraId="27B3D43A" w14:textId="77777777" w:rsidR="00A02774" w:rsidRPr="00A02774" w:rsidRDefault="00A02774" w:rsidP="00A02774">
      <w:pPr>
        <w:spacing w:after="0" w:line="240" w:lineRule="auto"/>
        <w:ind w:firstLine="709"/>
        <w:jc w:val="both"/>
        <w:rPr>
          <w:rFonts w:ascii="Arial" w:hAnsi="Arial" w:cs="Arial"/>
          <w:bCs/>
          <w:color w:val="000000" w:themeColor="text1"/>
          <w:sz w:val="20"/>
          <w:lang w:val="es-MX"/>
        </w:rPr>
      </w:pPr>
      <w:r w:rsidRPr="00A02774">
        <w:rPr>
          <w:rFonts w:ascii="Arial" w:hAnsi="Arial" w:cs="Arial"/>
          <w:bCs/>
          <w:color w:val="000000" w:themeColor="text1"/>
          <w:sz w:val="20"/>
          <w:lang w:val="es-MX"/>
        </w:rPr>
        <w:t>La presente revisión sistemática evidencia que la gobernanza pública ha evolucionado hacia modelos más colaborativos, tecnológicos y centrados en el ciudadano, superando paradigmas que se enfocaban exclusivamente en la eficiencia operativa. Los modelos identificados en años recientes—como la gobernanza abierta, digital, exploratoria y orientada al usuario—comparten un énfasis en la horizontalidad, la inclusión y la adaptabilidad como características fundamentales para afrontar las complejidades propias del contexto actual.</w:t>
      </w:r>
    </w:p>
    <w:p w14:paraId="38E17CB4" w14:textId="77777777" w:rsidR="00A02774" w:rsidRPr="00A02774" w:rsidRDefault="00A02774" w:rsidP="00A02774">
      <w:pPr>
        <w:spacing w:after="0" w:line="240" w:lineRule="auto"/>
        <w:ind w:firstLine="709"/>
        <w:jc w:val="both"/>
        <w:rPr>
          <w:rFonts w:ascii="Arial" w:hAnsi="Arial" w:cs="Arial"/>
          <w:bCs/>
          <w:color w:val="000000" w:themeColor="text1"/>
          <w:sz w:val="20"/>
          <w:lang w:val="es-MX"/>
        </w:rPr>
      </w:pPr>
      <w:r w:rsidRPr="00A02774">
        <w:rPr>
          <w:rFonts w:ascii="Arial" w:hAnsi="Arial" w:cs="Arial"/>
          <w:bCs/>
          <w:color w:val="000000" w:themeColor="text1"/>
          <w:sz w:val="20"/>
          <w:lang w:val="es-MX"/>
        </w:rPr>
        <w:t>Los estudios analizados destacan que factores como el liderazgo efectivo, la participación ciudadana, la cultura organizacional y la capacidad tecnológica son esenciales para que estos modelos tengan éxito. En ausencia de estos elementos, las reformas tienden a diluirse o quedarse solo en el discurso, aunque también se identifican avances en el establecimiento de criterios que permitan evaluar la efectividad de la gobernanza pública.</w:t>
      </w:r>
    </w:p>
    <w:p w14:paraId="3D79D1BE" w14:textId="77777777" w:rsidR="00A02774" w:rsidRPr="00A02774" w:rsidRDefault="00A02774" w:rsidP="00A02774">
      <w:pPr>
        <w:spacing w:after="0" w:line="240" w:lineRule="auto"/>
        <w:ind w:firstLine="709"/>
        <w:jc w:val="both"/>
        <w:rPr>
          <w:rFonts w:ascii="Arial" w:hAnsi="Arial" w:cs="Arial"/>
          <w:bCs/>
          <w:color w:val="000000" w:themeColor="text1"/>
          <w:sz w:val="20"/>
          <w:lang w:val="es-MX"/>
        </w:rPr>
      </w:pPr>
      <w:r w:rsidRPr="00A02774">
        <w:rPr>
          <w:rFonts w:ascii="Arial" w:hAnsi="Arial" w:cs="Arial"/>
          <w:bCs/>
          <w:color w:val="000000" w:themeColor="text1"/>
          <w:sz w:val="20"/>
          <w:lang w:val="es-MX"/>
        </w:rPr>
        <w:t>Entre los indicadores relevantes para medir la mejora en la gobernanza se encuentran el impacto en el gasto público, el nivel de satisfacción ciudadana, la equidad social, la transparencia y la innovación en los servicios. Sin embargo, persisten limitaciones en su aplicación práctica, particularmente en contextos que enfrentan debilidades institucionales o escaso desarrollo tecnológico, lo cual representa un desafío pendiente para consolidar modelos de gobernanza más efectivos y sostenibles. En definitiva, el futuro de la gobernanza pública depende de la capacidad de innovar y adaptarse, con un compromiso real hacia una gestión inclusiva y consciente de los derechos y necesidades de la ciudadanía, para construir sociedades más justas, participativas y resilientes.</w:t>
      </w:r>
    </w:p>
    <w:p w14:paraId="0BE81CA9" w14:textId="77777777" w:rsidR="004365B8" w:rsidRPr="003E5AF8" w:rsidRDefault="004365B8" w:rsidP="00392D7D">
      <w:pPr>
        <w:spacing w:after="0" w:line="240" w:lineRule="auto"/>
        <w:jc w:val="both"/>
        <w:rPr>
          <w:rFonts w:ascii="Century Gothic" w:hAnsi="Century Gothic" w:cs="Arial"/>
          <w:b/>
          <w:bCs/>
          <w:color w:val="000000" w:themeColor="text1"/>
          <w:sz w:val="20"/>
          <w:lang w:val="es-MX"/>
        </w:rPr>
      </w:pPr>
    </w:p>
    <w:p w14:paraId="7C3FB490" w14:textId="3BA389BE" w:rsidR="00392D7D" w:rsidRPr="00A84B7B" w:rsidRDefault="00914A27" w:rsidP="00392D7D">
      <w:pPr>
        <w:spacing w:after="0" w:line="240" w:lineRule="auto"/>
        <w:jc w:val="both"/>
        <w:rPr>
          <w:rFonts w:ascii="Century Gothic" w:hAnsi="Century Gothic" w:cs="Arial"/>
          <w:b/>
          <w:bCs/>
          <w:color w:val="000000" w:themeColor="text1"/>
          <w:lang w:val="es-MX"/>
        </w:rPr>
      </w:pPr>
      <w:r w:rsidRPr="00A84B7B">
        <w:rPr>
          <w:rFonts w:ascii="Century Gothic" w:hAnsi="Century Gothic" w:cs="Arial"/>
          <w:b/>
          <w:bCs/>
          <w:color w:val="000000" w:themeColor="text1"/>
          <w:lang w:val="es-MX"/>
        </w:rPr>
        <w:t>Referencias</w:t>
      </w:r>
    </w:p>
    <w:p w14:paraId="36A21356" w14:textId="4ADDE86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n-US"/>
        </w:rPr>
      </w:pPr>
      <w:r w:rsidRPr="00FA463C">
        <w:rPr>
          <w:rFonts w:ascii="Arial" w:hAnsi="Arial" w:cs="Arial"/>
          <w:bCs/>
          <w:iCs/>
          <w:color w:val="222222"/>
          <w:sz w:val="20"/>
          <w:szCs w:val="20"/>
          <w:shd w:val="clear" w:color="auto" w:fill="FFFFFF"/>
          <w:lang w:val="en-US"/>
        </w:rPr>
        <w:t xml:space="preserve">Alqooti, A. (2020). Public </w:t>
      </w:r>
      <w:r w:rsidR="00A02774" w:rsidRPr="00FA463C">
        <w:rPr>
          <w:rFonts w:ascii="Arial" w:hAnsi="Arial" w:cs="Arial"/>
          <w:bCs/>
          <w:iCs/>
          <w:color w:val="222222"/>
          <w:sz w:val="20"/>
          <w:szCs w:val="20"/>
          <w:shd w:val="clear" w:color="auto" w:fill="FFFFFF"/>
          <w:lang w:val="en-US"/>
        </w:rPr>
        <w:t>governance in the public sector</w:t>
      </w:r>
      <w:r w:rsidRPr="00FA463C">
        <w:rPr>
          <w:rFonts w:ascii="Arial" w:hAnsi="Arial" w:cs="Arial"/>
          <w:bCs/>
          <w:iCs/>
          <w:color w:val="222222"/>
          <w:sz w:val="20"/>
          <w:szCs w:val="20"/>
          <w:shd w:val="clear" w:color="auto" w:fill="FFFFFF"/>
          <w:lang w:val="en-US"/>
        </w:rPr>
        <w:t>: Literature review. </w:t>
      </w:r>
      <w:r w:rsidRPr="00FA463C">
        <w:rPr>
          <w:rFonts w:ascii="Arial" w:hAnsi="Arial" w:cs="Arial"/>
          <w:bCs/>
          <w:i/>
          <w:iCs/>
          <w:color w:val="222222"/>
          <w:sz w:val="20"/>
          <w:szCs w:val="20"/>
          <w:shd w:val="clear" w:color="auto" w:fill="FFFFFF"/>
          <w:lang w:val="en-US"/>
        </w:rPr>
        <w:t>International Journal of Business Ethics and Governance (IJBEG)</w:t>
      </w:r>
      <w:r w:rsidRPr="00FA463C">
        <w:rPr>
          <w:rFonts w:ascii="Arial" w:hAnsi="Arial" w:cs="Arial"/>
          <w:bCs/>
          <w:iCs/>
          <w:color w:val="222222"/>
          <w:sz w:val="20"/>
          <w:szCs w:val="20"/>
          <w:shd w:val="clear" w:color="auto" w:fill="FFFFFF"/>
          <w:lang w:val="en-US"/>
        </w:rPr>
        <w:t>, </w:t>
      </w:r>
      <w:r w:rsidRPr="00FA463C">
        <w:rPr>
          <w:rFonts w:ascii="Arial" w:hAnsi="Arial" w:cs="Arial"/>
          <w:bCs/>
          <w:i/>
          <w:iCs/>
          <w:color w:val="222222"/>
          <w:sz w:val="20"/>
          <w:szCs w:val="20"/>
          <w:shd w:val="clear" w:color="auto" w:fill="FFFFFF"/>
          <w:lang w:val="en-US"/>
        </w:rPr>
        <w:t>3</w:t>
      </w:r>
      <w:r w:rsidRPr="00FA463C">
        <w:rPr>
          <w:rFonts w:ascii="Arial" w:hAnsi="Arial" w:cs="Arial"/>
          <w:bCs/>
          <w:iCs/>
          <w:color w:val="222222"/>
          <w:sz w:val="20"/>
          <w:szCs w:val="20"/>
          <w:shd w:val="clear" w:color="auto" w:fill="FFFFFF"/>
          <w:lang w:val="en-US"/>
        </w:rPr>
        <w:t>(3), 14–25. </w:t>
      </w:r>
      <w:hyperlink r:id="rId20" w:tgtFrame="_blank" w:history="1">
        <w:r w:rsidRPr="00FA463C">
          <w:rPr>
            <w:rStyle w:val="Hipervnculo"/>
            <w:rFonts w:ascii="Arial" w:hAnsi="Arial" w:cs="Arial"/>
            <w:bCs/>
            <w:iCs/>
            <w:sz w:val="20"/>
            <w:szCs w:val="20"/>
            <w:shd w:val="clear" w:color="auto" w:fill="FFFFFF"/>
            <w:lang w:val="en-US"/>
          </w:rPr>
          <w:t>https://doi.org/10.51325/ijbeg.v3i3.47</w:t>
        </w:r>
      </w:hyperlink>
    </w:p>
    <w:p w14:paraId="02CC8FC8"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n-US"/>
        </w:rPr>
      </w:pPr>
      <w:r w:rsidRPr="00FA463C">
        <w:rPr>
          <w:rFonts w:ascii="Arial" w:hAnsi="Arial" w:cs="Arial"/>
          <w:bCs/>
          <w:iCs/>
          <w:color w:val="222222"/>
          <w:sz w:val="20"/>
          <w:szCs w:val="20"/>
          <w:shd w:val="clear" w:color="auto" w:fill="FFFFFF"/>
          <w:lang w:val="en-US"/>
        </w:rPr>
        <w:t>Bason, C., &amp; Austin, R. D. (2021). Design in the public sector: Toward a human centred model of public governance. </w:t>
      </w:r>
      <w:r w:rsidRPr="00FA463C">
        <w:rPr>
          <w:rFonts w:ascii="Arial" w:hAnsi="Arial" w:cs="Arial"/>
          <w:bCs/>
          <w:i/>
          <w:iCs/>
          <w:color w:val="222222"/>
          <w:sz w:val="20"/>
          <w:szCs w:val="20"/>
          <w:shd w:val="clear" w:color="auto" w:fill="FFFFFF"/>
          <w:lang w:val="en-US"/>
        </w:rPr>
        <w:t>Public Management Review, 24</w:t>
      </w:r>
      <w:r w:rsidRPr="00FA463C">
        <w:rPr>
          <w:rFonts w:ascii="Arial" w:hAnsi="Arial" w:cs="Arial"/>
          <w:bCs/>
          <w:iCs/>
          <w:color w:val="222222"/>
          <w:sz w:val="20"/>
          <w:szCs w:val="20"/>
          <w:shd w:val="clear" w:color="auto" w:fill="FFFFFF"/>
          <w:lang w:val="en-US"/>
        </w:rPr>
        <w:t>(11), 1727–1757. </w:t>
      </w:r>
      <w:hyperlink r:id="rId21" w:tgtFrame="_blank" w:history="1">
        <w:r w:rsidRPr="00FA463C">
          <w:rPr>
            <w:rStyle w:val="Hipervnculo"/>
            <w:rFonts w:ascii="Arial" w:hAnsi="Arial" w:cs="Arial"/>
            <w:bCs/>
            <w:iCs/>
            <w:sz w:val="20"/>
            <w:szCs w:val="20"/>
            <w:shd w:val="clear" w:color="auto" w:fill="FFFFFF"/>
            <w:lang w:val="en-US"/>
          </w:rPr>
          <w:t>https://doi.org/10.1080/14719037.2021.1919186</w:t>
        </w:r>
      </w:hyperlink>
    </w:p>
    <w:p w14:paraId="7CB48E58"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s-MX"/>
        </w:rPr>
      </w:pPr>
      <w:r w:rsidRPr="00FA463C">
        <w:rPr>
          <w:rFonts w:ascii="Arial" w:hAnsi="Arial" w:cs="Arial"/>
          <w:bCs/>
          <w:iCs/>
          <w:color w:val="222222"/>
          <w:sz w:val="20"/>
          <w:szCs w:val="20"/>
          <w:shd w:val="clear" w:color="auto" w:fill="FFFFFF"/>
          <w:lang w:val="en-US"/>
        </w:rPr>
        <w:t>Birkstedt, T., Minkkinen, M., Tandon, A., &amp; Mäntymäki, M. (2023). AI governance: Themes, knowledge gaps and future agendas. </w:t>
      </w:r>
      <w:r w:rsidRPr="00FA463C">
        <w:rPr>
          <w:rFonts w:ascii="Arial" w:hAnsi="Arial" w:cs="Arial"/>
          <w:bCs/>
          <w:i/>
          <w:iCs/>
          <w:color w:val="222222"/>
          <w:sz w:val="20"/>
          <w:szCs w:val="20"/>
          <w:shd w:val="clear" w:color="auto" w:fill="FFFFFF"/>
          <w:lang w:val="en-US"/>
        </w:rPr>
        <w:t>Internet Research, 33</w:t>
      </w:r>
      <w:r w:rsidRPr="00FA463C">
        <w:rPr>
          <w:rFonts w:ascii="Arial" w:hAnsi="Arial" w:cs="Arial"/>
          <w:bCs/>
          <w:iCs/>
          <w:color w:val="222222"/>
          <w:sz w:val="20"/>
          <w:szCs w:val="20"/>
          <w:shd w:val="clear" w:color="auto" w:fill="FFFFFF"/>
          <w:lang w:val="en-US"/>
        </w:rPr>
        <w:t>(7), 133–167. </w:t>
      </w:r>
      <w:hyperlink r:id="rId22" w:tgtFrame="_blank" w:history="1">
        <w:r w:rsidRPr="00FA463C">
          <w:rPr>
            <w:rStyle w:val="Hipervnculo"/>
            <w:rFonts w:ascii="Arial" w:hAnsi="Arial" w:cs="Arial"/>
            <w:bCs/>
            <w:iCs/>
            <w:sz w:val="20"/>
            <w:szCs w:val="20"/>
            <w:shd w:val="clear" w:color="auto" w:fill="FFFFFF"/>
            <w:lang w:val="es-MX"/>
          </w:rPr>
          <w:t>https://doi.org/10.1108/INTR-01-2022-0042</w:t>
        </w:r>
      </w:hyperlink>
    </w:p>
    <w:p w14:paraId="35C5C9FF"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s-MX"/>
        </w:rPr>
      </w:pPr>
      <w:r w:rsidRPr="00FA463C">
        <w:rPr>
          <w:rFonts w:ascii="Arial" w:hAnsi="Arial" w:cs="Arial"/>
          <w:bCs/>
          <w:iCs/>
          <w:color w:val="222222"/>
          <w:sz w:val="20"/>
          <w:szCs w:val="20"/>
          <w:shd w:val="clear" w:color="auto" w:fill="FFFFFF"/>
          <w:lang w:val="es-MX"/>
        </w:rPr>
        <w:t>Blanco, A. (2024). Administración pública y gobernanza en Colombia: Aportes para una gestión transparente en clave dialéctica. </w:t>
      </w:r>
      <w:r w:rsidRPr="00FA463C">
        <w:rPr>
          <w:rFonts w:ascii="Arial" w:hAnsi="Arial" w:cs="Arial"/>
          <w:bCs/>
          <w:i/>
          <w:iCs/>
          <w:color w:val="222222"/>
          <w:sz w:val="20"/>
          <w:szCs w:val="20"/>
          <w:shd w:val="clear" w:color="auto" w:fill="FFFFFF"/>
          <w:lang w:val="es-MX"/>
        </w:rPr>
        <w:t>Administración &amp; Desarrollo, 54</w:t>
      </w:r>
      <w:r w:rsidRPr="00FA463C">
        <w:rPr>
          <w:rFonts w:ascii="Arial" w:hAnsi="Arial" w:cs="Arial"/>
          <w:bCs/>
          <w:iCs/>
          <w:color w:val="222222"/>
          <w:sz w:val="20"/>
          <w:szCs w:val="20"/>
          <w:shd w:val="clear" w:color="auto" w:fill="FFFFFF"/>
          <w:lang w:val="es-MX"/>
        </w:rPr>
        <w:t>(1). </w:t>
      </w:r>
      <w:hyperlink r:id="rId23" w:tgtFrame="_blank" w:history="1">
        <w:r w:rsidRPr="00FA463C">
          <w:rPr>
            <w:rStyle w:val="Hipervnculo"/>
            <w:rFonts w:ascii="Arial" w:hAnsi="Arial" w:cs="Arial"/>
            <w:bCs/>
            <w:iCs/>
            <w:sz w:val="20"/>
            <w:szCs w:val="20"/>
            <w:shd w:val="clear" w:color="auto" w:fill="FFFFFF"/>
            <w:lang w:val="es-MX"/>
          </w:rPr>
          <w:t>https://doi.org/10.22431/25005227.vol54n1.903</w:t>
        </w:r>
      </w:hyperlink>
    </w:p>
    <w:p w14:paraId="7FE30823"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s-MX"/>
        </w:rPr>
      </w:pPr>
      <w:r w:rsidRPr="00FA463C">
        <w:rPr>
          <w:rFonts w:ascii="Arial" w:hAnsi="Arial" w:cs="Arial"/>
          <w:bCs/>
          <w:iCs/>
          <w:color w:val="222222"/>
          <w:sz w:val="20"/>
          <w:szCs w:val="20"/>
          <w:shd w:val="clear" w:color="auto" w:fill="FFFFFF"/>
          <w:lang w:val="es-MX"/>
        </w:rPr>
        <w:t>Cárdenas, H. W., Lino, D. J., &amp; León, L. A. (2020). Nueva gestión pública y gobernanza: Una comparación de dos paradigmas para hacer frente a problemas complejos modernos. </w:t>
      </w:r>
      <w:r w:rsidRPr="00FA463C">
        <w:rPr>
          <w:rFonts w:ascii="Arial" w:hAnsi="Arial" w:cs="Arial"/>
          <w:bCs/>
          <w:i/>
          <w:iCs/>
          <w:color w:val="222222"/>
          <w:sz w:val="20"/>
          <w:szCs w:val="20"/>
          <w:shd w:val="clear" w:color="auto" w:fill="FFFFFF"/>
          <w:lang w:val="es-MX"/>
        </w:rPr>
        <w:t>Ciencia y Educación, 1</w:t>
      </w:r>
      <w:r w:rsidRPr="00FA463C">
        <w:rPr>
          <w:rFonts w:ascii="Arial" w:hAnsi="Arial" w:cs="Arial"/>
          <w:bCs/>
          <w:iCs/>
          <w:color w:val="222222"/>
          <w:sz w:val="20"/>
          <w:szCs w:val="20"/>
          <w:shd w:val="clear" w:color="auto" w:fill="FFFFFF"/>
          <w:lang w:val="es-MX"/>
        </w:rPr>
        <w:t>(9), 6–17. </w:t>
      </w:r>
      <w:hyperlink r:id="rId24" w:tgtFrame="_blank" w:history="1">
        <w:r w:rsidRPr="00FA463C">
          <w:rPr>
            <w:rStyle w:val="Hipervnculo"/>
            <w:rFonts w:ascii="Arial" w:hAnsi="Arial" w:cs="Arial"/>
            <w:bCs/>
            <w:iCs/>
            <w:sz w:val="20"/>
            <w:szCs w:val="20"/>
            <w:shd w:val="clear" w:color="auto" w:fill="FFFFFF"/>
            <w:lang w:val="es-MX"/>
          </w:rPr>
          <w:t>https://doi.org/10.5281/zenodo.8266344</w:t>
        </w:r>
      </w:hyperlink>
    </w:p>
    <w:p w14:paraId="43BC1203"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n-US"/>
        </w:rPr>
      </w:pPr>
      <w:r w:rsidRPr="00FA463C">
        <w:rPr>
          <w:rFonts w:ascii="Arial" w:hAnsi="Arial" w:cs="Arial"/>
          <w:bCs/>
          <w:iCs/>
          <w:color w:val="222222"/>
          <w:sz w:val="20"/>
          <w:szCs w:val="20"/>
          <w:shd w:val="clear" w:color="auto" w:fill="FFFFFF"/>
          <w:lang w:val="es-MX"/>
        </w:rPr>
        <w:lastRenderedPageBreak/>
        <w:t xml:space="preserve">Chang, A., &amp; Brewer, G. A. (2023). </w:t>
      </w:r>
      <w:r w:rsidRPr="00FA463C">
        <w:rPr>
          <w:rFonts w:ascii="Arial" w:hAnsi="Arial" w:cs="Arial"/>
          <w:bCs/>
          <w:iCs/>
          <w:color w:val="222222"/>
          <w:sz w:val="20"/>
          <w:szCs w:val="20"/>
          <w:shd w:val="clear" w:color="auto" w:fill="FFFFFF"/>
          <w:lang w:val="en-US"/>
        </w:rPr>
        <w:t>Street-level bureaucracy in public administration: A systematic literature review. </w:t>
      </w:r>
      <w:r w:rsidRPr="00FA463C">
        <w:rPr>
          <w:rFonts w:ascii="Arial" w:hAnsi="Arial" w:cs="Arial"/>
          <w:bCs/>
          <w:i/>
          <w:iCs/>
          <w:color w:val="222222"/>
          <w:sz w:val="20"/>
          <w:szCs w:val="20"/>
          <w:shd w:val="clear" w:color="auto" w:fill="FFFFFF"/>
          <w:lang w:val="en-US"/>
        </w:rPr>
        <w:t>Public Management Review, 25</w:t>
      </w:r>
      <w:r w:rsidRPr="00FA463C">
        <w:rPr>
          <w:rFonts w:ascii="Arial" w:hAnsi="Arial" w:cs="Arial"/>
          <w:bCs/>
          <w:iCs/>
          <w:color w:val="222222"/>
          <w:sz w:val="20"/>
          <w:szCs w:val="20"/>
          <w:shd w:val="clear" w:color="auto" w:fill="FFFFFF"/>
          <w:lang w:val="en-US"/>
        </w:rPr>
        <w:t>(11), 2191–2211. </w:t>
      </w:r>
      <w:hyperlink r:id="rId25" w:tgtFrame="_blank" w:history="1">
        <w:r w:rsidRPr="00FA463C">
          <w:rPr>
            <w:rStyle w:val="Hipervnculo"/>
            <w:rFonts w:ascii="Arial" w:hAnsi="Arial" w:cs="Arial"/>
            <w:bCs/>
            <w:iCs/>
            <w:sz w:val="20"/>
            <w:szCs w:val="20"/>
            <w:shd w:val="clear" w:color="auto" w:fill="FFFFFF"/>
            <w:lang w:val="en-US"/>
          </w:rPr>
          <w:t>https://doi.org/10.1080/14719037.2022.2065517</w:t>
        </w:r>
      </w:hyperlink>
    </w:p>
    <w:p w14:paraId="210BDB21"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n-US"/>
        </w:rPr>
      </w:pPr>
      <w:r w:rsidRPr="00FA463C">
        <w:rPr>
          <w:rFonts w:ascii="Arial" w:hAnsi="Arial" w:cs="Arial"/>
          <w:bCs/>
          <w:iCs/>
          <w:color w:val="222222"/>
          <w:sz w:val="20"/>
          <w:szCs w:val="20"/>
          <w:shd w:val="clear" w:color="auto" w:fill="FFFFFF"/>
          <w:lang w:val="en-US"/>
        </w:rPr>
        <w:t>Dandan, J. (2024). The challenges and opportunities of public governance in the digital era. </w:t>
      </w:r>
      <w:r w:rsidRPr="00FA463C">
        <w:rPr>
          <w:rFonts w:ascii="Arial" w:hAnsi="Arial" w:cs="Arial"/>
          <w:bCs/>
          <w:i/>
          <w:iCs/>
          <w:color w:val="222222"/>
          <w:sz w:val="20"/>
          <w:szCs w:val="20"/>
          <w:shd w:val="clear" w:color="auto" w:fill="FFFFFF"/>
          <w:lang w:val="en-US"/>
        </w:rPr>
        <w:t>International Journal of Social Sciences and Public Administration, 2</w:t>
      </w:r>
      <w:r w:rsidRPr="00FA463C">
        <w:rPr>
          <w:rFonts w:ascii="Arial" w:hAnsi="Arial" w:cs="Arial"/>
          <w:bCs/>
          <w:iCs/>
          <w:color w:val="222222"/>
          <w:sz w:val="20"/>
          <w:szCs w:val="20"/>
          <w:shd w:val="clear" w:color="auto" w:fill="FFFFFF"/>
          <w:lang w:val="en-US"/>
        </w:rPr>
        <w:t>(3). </w:t>
      </w:r>
      <w:hyperlink r:id="rId26" w:tgtFrame="_blank" w:history="1">
        <w:r w:rsidRPr="00FA463C">
          <w:rPr>
            <w:rStyle w:val="Hipervnculo"/>
            <w:rFonts w:ascii="Arial" w:hAnsi="Arial" w:cs="Arial"/>
            <w:bCs/>
            <w:iCs/>
            <w:sz w:val="20"/>
            <w:szCs w:val="20"/>
            <w:shd w:val="clear" w:color="auto" w:fill="FFFFFF"/>
            <w:lang w:val="en-US"/>
          </w:rPr>
          <w:t>https://doi.org/10.62051/ijsspa.v2n3.64</w:t>
        </w:r>
      </w:hyperlink>
    </w:p>
    <w:p w14:paraId="5EE232E4"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n-US"/>
        </w:rPr>
      </w:pPr>
      <w:r w:rsidRPr="00FA463C">
        <w:rPr>
          <w:rFonts w:ascii="Arial" w:hAnsi="Arial" w:cs="Arial"/>
          <w:bCs/>
          <w:iCs/>
          <w:color w:val="222222"/>
          <w:sz w:val="20"/>
          <w:szCs w:val="20"/>
          <w:shd w:val="clear" w:color="auto" w:fill="FFFFFF"/>
          <w:lang w:val="es-MX"/>
        </w:rPr>
        <w:t xml:space="preserve">Di Vaio, A., Trujillo, L., D'Amore, G., &amp; Palladino, R. (2021). </w:t>
      </w:r>
      <w:r w:rsidRPr="00FA463C">
        <w:rPr>
          <w:rFonts w:ascii="Arial" w:hAnsi="Arial" w:cs="Arial"/>
          <w:bCs/>
          <w:iCs/>
          <w:color w:val="222222"/>
          <w:sz w:val="20"/>
          <w:szCs w:val="20"/>
          <w:shd w:val="clear" w:color="auto" w:fill="FFFFFF"/>
          <w:lang w:val="en-US"/>
        </w:rPr>
        <w:t>Water governance models for meeting sustainable development Goals: A structured literature review. </w:t>
      </w:r>
      <w:r w:rsidRPr="00FA463C">
        <w:rPr>
          <w:rFonts w:ascii="Arial" w:hAnsi="Arial" w:cs="Arial"/>
          <w:bCs/>
          <w:i/>
          <w:iCs/>
          <w:color w:val="222222"/>
          <w:sz w:val="20"/>
          <w:szCs w:val="20"/>
          <w:shd w:val="clear" w:color="auto" w:fill="FFFFFF"/>
          <w:lang w:val="en-US"/>
        </w:rPr>
        <w:t>Utilities Policy, 72</w:t>
      </w:r>
      <w:r w:rsidRPr="00FA463C">
        <w:rPr>
          <w:rFonts w:ascii="Arial" w:hAnsi="Arial" w:cs="Arial"/>
          <w:bCs/>
          <w:iCs/>
          <w:color w:val="222222"/>
          <w:sz w:val="20"/>
          <w:szCs w:val="20"/>
          <w:shd w:val="clear" w:color="auto" w:fill="FFFFFF"/>
          <w:lang w:val="en-US"/>
        </w:rPr>
        <w:t>, 101255. </w:t>
      </w:r>
      <w:hyperlink r:id="rId27" w:tgtFrame="_blank" w:history="1">
        <w:r w:rsidRPr="00FA463C">
          <w:rPr>
            <w:rStyle w:val="Hipervnculo"/>
            <w:rFonts w:ascii="Arial" w:hAnsi="Arial" w:cs="Arial"/>
            <w:bCs/>
            <w:iCs/>
            <w:sz w:val="20"/>
            <w:szCs w:val="20"/>
            <w:shd w:val="clear" w:color="auto" w:fill="FFFFFF"/>
            <w:lang w:val="en-US"/>
          </w:rPr>
          <w:t>https://doi.org/10.1016/j.jup.2021.101255</w:t>
        </w:r>
      </w:hyperlink>
    </w:p>
    <w:p w14:paraId="26C72D9F"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s-MX"/>
        </w:rPr>
      </w:pPr>
      <w:r w:rsidRPr="00FA463C">
        <w:rPr>
          <w:rFonts w:ascii="Arial" w:hAnsi="Arial" w:cs="Arial"/>
          <w:bCs/>
          <w:iCs/>
          <w:color w:val="222222"/>
          <w:sz w:val="20"/>
          <w:szCs w:val="20"/>
          <w:shd w:val="clear" w:color="auto" w:fill="FFFFFF"/>
          <w:lang w:val="en-US"/>
        </w:rPr>
        <w:t>Falcão, H., Mota, J., &amp; Marini, C. (2017). Business models in the public domain: The public governance canvas. </w:t>
      </w:r>
      <w:r w:rsidRPr="00FA463C">
        <w:rPr>
          <w:rFonts w:ascii="Arial" w:hAnsi="Arial" w:cs="Arial"/>
          <w:bCs/>
          <w:i/>
          <w:iCs/>
          <w:color w:val="222222"/>
          <w:sz w:val="20"/>
          <w:szCs w:val="20"/>
          <w:shd w:val="clear" w:color="auto" w:fill="FFFFFF"/>
          <w:lang w:val="es-MX"/>
        </w:rPr>
        <w:t>Cadernos EBAPE.BR, 17</w:t>
      </w:r>
      <w:r w:rsidRPr="00FA463C">
        <w:rPr>
          <w:rFonts w:ascii="Arial" w:hAnsi="Arial" w:cs="Arial"/>
          <w:bCs/>
          <w:iCs/>
          <w:color w:val="222222"/>
          <w:sz w:val="20"/>
          <w:szCs w:val="20"/>
          <w:shd w:val="clear" w:color="auto" w:fill="FFFFFF"/>
          <w:lang w:val="es-MX"/>
        </w:rPr>
        <w:t>(1). </w:t>
      </w:r>
      <w:hyperlink r:id="rId28" w:tgtFrame="_blank" w:history="1">
        <w:r w:rsidRPr="00FA463C">
          <w:rPr>
            <w:rStyle w:val="Hipervnculo"/>
            <w:rFonts w:ascii="Arial" w:hAnsi="Arial" w:cs="Arial"/>
            <w:bCs/>
            <w:iCs/>
            <w:sz w:val="20"/>
            <w:szCs w:val="20"/>
            <w:shd w:val="clear" w:color="auto" w:fill="FFFFFF"/>
            <w:lang w:val="es-MX"/>
          </w:rPr>
          <w:t>http://dx.doi.org/10.1590/1679-395167893</w:t>
        </w:r>
      </w:hyperlink>
    </w:p>
    <w:p w14:paraId="422DE99B"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s-MX"/>
        </w:rPr>
      </w:pPr>
      <w:r w:rsidRPr="00FA463C">
        <w:rPr>
          <w:rFonts w:ascii="Arial" w:hAnsi="Arial" w:cs="Arial"/>
          <w:bCs/>
          <w:iCs/>
          <w:color w:val="222222"/>
          <w:sz w:val="20"/>
          <w:szCs w:val="20"/>
          <w:shd w:val="clear" w:color="auto" w:fill="FFFFFF"/>
          <w:lang w:val="es-MX"/>
        </w:rPr>
        <w:t xml:space="preserve">Ferreira, A., &amp; Santos, C. (2025). </w:t>
      </w:r>
      <w:r w:rsidRPr="00FA463C">
        <w:rPr>
          <w:rFonts w:ascii="Arial" w:hAnsi="Arial" w:cs="Arial"/>
          <w:bCs/>
          <w:iCs/>
          <w:color w:val="222222"/>
          <w:sz w:val="20"/>
          <w:szCs w:val="20"/>
          <w:shd w:val="clear" w:color="auto" w:fill="FFFFFF"/>
          <w:lang w:val="en-US"/>
        </w:rPr>
        <w:t>Digital transformation in public sector: Systematic literature review. In </w:t>
      </w:r>
      <w:r w:rsidRPr="00FA463C">
        <w:rPr>
          <w:rFonts w:ascii="Arial" w:hAnsi="Arial" w:cs="Arial"/>
          <w:bCs/>
          <w:i/>
          <w:iCs/>
          <w:color w:val="222222"/>
          <w:sz w:val="20"/>
          <w:szCs w:val="20"/>
          <w:shd w:val="clear" w:color="auto" w:fill="FFFFFF"/>
          <w:lang w:val="en-US"/>
        </w:rPr>
        <w:t>Enhancing public sector accountability and services through digital innovation</w:t>
      </w:r>
      <w:r w:rsidRPr="00FA463C">
        <w:rPr>
          <w:rFonts w:ascii="Arial" w:hAnsi="Arial" w:cs="Arial"/>
          <w:bCs/>
          <w:iCs/>
          <w:color w:val="222222"/>
          <w:sz w:val="20"/>
          <w:szCs w:val="20"/>
          <w:shd w:val="clear" w:color="auto" w:fill="FFFFFF"/>
          <w:lang w:val="en-US"/>
        </w:rPr>
        <w:t> (pp. 265–288). </w:t>
      </w:r>
      <w:hyperlink r:id="rId29" w:tgtFrame="_blank" w:history="1">
        <w:r w:rsidRPr="00FA463C">
          <w:rPr>
            <w:rStyle w:val="Hipervnculo"/>
            <w:rFonts w:ascii="Arial" w:hAnsi="Arial" w:cs="Arial"/>
            <w:bCs/>
            <w:iCs/>
            <w:sz w:val="20"/>
            <w:szCs w:val="20"/>
            <w:shd w:val="clear" w:color="auto" w:fill="FFFFFF"/>
            <w:lang w:val="es-MX"/>
          </w:rPr>
          <w:t>https://doi.org/10.4018/979-8-3693-9251-5.ch008</w:t>
        </w:r>
      </w:hyperlink>
    </w:p>
    <w:p w14:paraId="7667A5AA"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n-US"/>
        </w:rPr>
      </w:pPr>
      <w:r w:rsidRPr="00FA463C">
        <w:rPr>
          <w:rFonts w:ascii="Arial" w:hAnsi="Arial" w:cs="Arial"/>
          <w:bCs/>
          <w:iCs/>
          <w:color w:val="222222"/>
          <w:sz w:val="20"/>
          <w:szCs w:val="20"/>
          <w:shd w:val="clear" w:color="auto" w:fill="FFFFFF"/>
          <w:lang w:val="es-MX"/>
        </w:rPr>
        <w:t>Filgueiras, F., Palotti, P., &amp; Testa, G. (2023). Complejización de los estilos de gobernanza: Conexión entre la política y las políticas públicas en las teorías de gobernanza. </w:t>
      </w:r>
      <w:r w:rsidRPr="00FA463C">
        <w:rPr>
          <w:rFonts w:ascii="Arial" w:hAnsi="Arial" w:cs="Arial"/>
          <w:bCs/>
          <w:i/>
          <w:iCs/>
          <w:color w:val="222222"/>
          <w:sz w:val="20"/>
          <w:szCs w:val="20"/>
          <w:shd w:val="clear" w:color="auto" w:fill="FFFFFF"/>
          <w:lang w:val="en-US"/>
        </w:rPr>
        <w:t>SAGE Open, 13</w:t>
      </w:r>
      <w:r w:rsidRPr="00FA463C">
        <w:rPr>
          <w:rFonts w:ascii="Arial" w:hAnsi="Arial" w:cs="Arial"/>
          <w:bCs/>
          <w:iCs/>
          <w:color w:val="222222"/>
          <w:sz w:val="20"/>
          <w:szCs w:val="20"/>
          <w:shd w:val="clear" w:color="auto" w:fill="FFFFFF"/>
          <w:lang w:val="en-US"/>
        </w:rPr>
        <w:t>(1). </w:t>
      </w:r>
      <w:hyperlink r:id="rId30" w:tgtFrame="_blank" w:history="1">
        <w:r w:rsidRPr="00FA463C">
          <w:rPr>
            <w:rStyle w:val="Hipervnculo"/>
            <w:rFonts w:ascii="Arial" w:hAnsi="Arial" w:cs="Arial"/>
            <w:bCs/>
            <w:iCs/>
            <w:sz w:val="20"/>
            <w:szCs w:val="20"/>
            <w:shd w:val="clear" w:color="auto" w:fill="FFFFFF"/>
            <w:lang w:val="en-US"/>
          </w:rPr>
          <w:t>https://doi.org/10.1177/21582440231158521</w:t>
        </w:r>
      </w:hyperlink>
    </w:p>
    <w:p w14:paraId="014B5A1B" w14:textId="404AF2A8"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n-US"/>
        </w:rPr>
      </w:pPr>
      <w:r w:rsidRPr="00FA463C">
        <w:rPr>
          <w:rFonts w:ascii="Arial" w:hAnsi="Arial" w:cs="Arial"/>
          <w:bCs/>
          <w:iCs/>
          <w:color w:val="222222"/>
          <w:sz w:val="20"/>
          <w:szCs w:val="20"/>
          <w:shd w:val="clear" w:color="auto" w:fill="FFFFFF"/>
          <w:lang w:val="en-US"/>
        </w:rPr>
        <w:t>Giotitsas, C., Nardelli, P. H. J., Kostakis, V., &amp; Narayanan, A. (2020). From private to public governance: The case for re</w:t>
      </w:r>
      <w:r w:rsidR="00A02774">
        <w:rPr>
          <w:rFonts w:ascii="Arial" w:hAnsi="Arial" w:cs="Arial"/>
          <w:bCs/>
          <w:iCs/>
          <w:color w:val="222222"/>
          <w:sz w:val="20"/>
          <w:szCs w:val="20"/>
          <w:shd w:val="clear" w:color="auto" w:fill="FFFFFF"/>
          <w:lang w:val="en-US"/>
        </w:rPr>
        <w:t xml:space="preserve">configuring energy systems as a </w:t>
      </w:r>
      <w:r w:rsidRPr="00FA463C">
        <w:rPr>
          <w:rFonts w:ascii="Arial" w:hAnsi="Arial" w:cs="Arial"/>
          <w:bCs/>
          <w:iCs/>
          <w:color w:val="222222"/>
          <w:sz w:val="20"/>
          <w:szCs w:val="20"/>
          <w:shd w:val="clear" w:color="auto" w:fill="FFFFFF"/>
          <w:lang w:val="en-US"/>
        </w:rPr>
        <w:t>commons. </w:t>
      </w:r>
      <w:r w:rsidRPr="00FA463C">
        <w:rPr>
          <w:rFonts w:ascii="Arial" w:hAnsi="Arial" w:cs="Arial"/>
          <w:bCs/>
          <w:i/>
          <w:iCs/>
          <w:color w:val="222222"/>
          <w:sz w:val="20"/>
          <w:szCs w:val="20"/>
          <w:shd w:val="clear" w:color="auto" w:fill="FFFFFF"/>
          <w:lang w:val="en-US"/>
        </w:rPr>
        <w:t>Energy Research &amp; Social Science, 70</w:t>
      </w:r>
      <w:r w:rsidRPr="00FA463C">
        <w:rPr>
          <w:rFonts w:ascii="Arial" w:hAnsi="Arial" w:cs="Arial"/>
          <w:bCs/>
          <w:iCs/>
          <w:color w:val="222222"/>
          <w:sz w:val="20"/>
          <w:szCs w:val="20"/>
          <w:shd w:val="clear" w:color="auto" w:fill="FFFFFF"/>
          <w:lang w:val="en-US"/>
        </w:rPr>
        <w:t>. </w:t>
      </w:r>
      <w:hyperlink r:id="rId31" w:tgtFrame="_blank" w:history="1">
        <w:r w:rsidRPr="00FA463C">
          <w:rPr>
            <w:rStyle w:val="Hipervnculo"/>
            <w:rFonts w:ascii="Arial" w:hAnsi="Arial" w:cs="Arial"/>
            <w:bCs/>
            <w:iCs/>
            <w:sz w:val="20"/>
            <w:szCs w:val="20"/>
            <w:shd w:val="clear" w:color="auto" w:fill="FFFFFF"/>
            <w:lang w:val="en-US"/>
          </w:rPr>
          <w:t>https://doi.org/10.1016/j.erss.2020.101737</w:t>
        </w:r>
      </w:hyperlink>
    </w:p>
    <w:p w14:paraId="42CC6E4A"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n-US"/>
        </w:rPr>
      </w:pPr>
      <w:r w:rsidRPr="00FA463C">
        <w:rPr>
          <w:rFonts w:ascii="Arial" w:hAnsi="Arial" w:cs="Arial"/>
          <w:bCs/>
          <w:iCs/>
          <w:color w:val="222222"/>
          <w:sz w:val="20"/>
          <w:szCs w:val="20"/>
          <w:shd w:val="clear" w:color="auto" w:fill="FFFFFF"/>
          <w:lang w:val="en-US"/>
        </w:rPr>
        <w:t>Grossi, G., &amp; Argento, D. (2022). The fate of accounting for public governance development. </w:t>
      </w:r>
      <w:r w:rsidRPr="00FA463C">
        <w:rPr>
          <w:rFonts w:ascii="Arial" w:hAnsi="Arial" w:cs="Arial"/>
          <w:bCs/>
          <w:i/>
          <w:iCs/>
          <w:color w:val="222222"/>
          <w:sz w:val="20"/>
          <w:szCs w:val="20"/>
          <w:shd w:val="clear" w:color="auto" w:fill="FFFFFF"/>
          <w:lang w:val="en-US"/>
        </w:rPr>
        <w:t>Accounting, Auditing &amp; Accountability Journal, 35</w:t>
      </w:r>
      <w:r w:rsidRPr="00FA463C">
        <w:rPr>
          <w:rFonts w:ascii="Arial" w:hAnsi="Arial" w:cs="Arial"/>
          <w:bCs/>
          <w:iCs/>
          <w:color w:val="222222"/>
          <w:sz w:val="20"/>
          <w:szCs w:val="20"/>
          <w:shd w:val="clear" w:color="auto" w:fill="FFFFFF"/>
          <w:lang w:val="en-US"/>
        </w:rPr>
        <w:t>(9), 272–303. </w:t>
      </w:r>
      <w:hyperlink r:id="rId32" w:tgtFrame="_blank" w:history="1">
        <w:r w:rsidRPr="00FA463C">
          <w:rPr>
            <w:rStyle w:val="Hipervnculo"/>
            <w:rFonts w:ascii="Arial" w:hAnsi="Arial" w:cs="Arial"/>
            <w:bCs/>
            <w:iCs/>
            <w:sz w:val="20"/>
            <w:szCs w:val="20"/>
            <w:shd w:val="clear" w:color="auto" w:fill="FFFFFF"/>
            <w:lang w:val="en-US"/>
          </w:rPr>
          <w:t>https://doi.org/10.1108/AAAJ-11-2020-5001</w:t>
        </w:r>
      </w:hyperlink>
    </w:p>
    <w:p w14:paraId="37AFD45E"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n-US"/>
        </w:rPr>
      </w:pPr>
      <w:r w:rsidRPr="00FA463C">
        <w:rPr>
          <w:rFonts w:ascii="Arial" w:hAnsi="Arial" w:cs="Arial"/>
          <w:bCs/>
          <w:iCs/>
          <w:color w:val="222222"/>
          <w:sz w:val="20"/>
          <w:szCs w:val="20"/>
          <w:shd w:val="clear" w:color="auto" w:fill="FFFFFF"/>
          <w:lang w:val="en-US"/>
        </w:rPr>
        <w:t>Grossman, G., &amp; Slough, T. (2022). Government responsiveness in developing countries. </w:t>
      </w:r>
      <w:r w:rsidRPr="00FA463C">
        <w:rPr>
          <w:rFonts w:ascii="Arial" w:hAnsi="Arial" w:cs="Arial"/>
          <w:bCs/>
          <w:i/>
          <w:iCs/>
          <w:color w:val="222222"/>
          <w:sz w:val="20"/>
          <w:szCs w:val="20"/>
          <w:shd w:val="clear" w:color="auto" w:fill="FFFFFF"/>
          <w:lang w:val="en-US"/>
        </w:rPr>
        <w:t>Annual Review of Political Science, 25</w:t>
      </w:r>
      <w:r w:rsidRPr="00FA463C">
        <w:rPr>
          <w:rFonts w:ascii="Arial" w:hAnsi="Arial" w:cs="Arial"/>
          <w:bCs/>
          <w:iCs/>
          <w:color w:val="222222"/>
          <w:sz w:val="20"/>
          <w:szCs w:val="20"/>
          <w:shd w:val="clear" w:color="auto" w:fill="FFFFFF"/>
          <w:lang w:val="en-US"/>
        </w:rPr>
        <w:t>(1), 131–153. </w:t>
      </w:r>
      <w:hyperlink r:id="rId33" w:tgtFrame="_blank" w:history="1">
        <w:r w:rsidRPr="00FA463C">
          <w:rPr>
            <w:rStyle w:val="Hipervnculo"/>
            <w:rFonts w:ascii="Arial" w:hAnsi="Arial" w:cs="Arial"/>
            <w:bCs/>
            <w:iCs/>
            <w:sz w:val="20"/>
            <w:szCs w:val="20"/>
            <w:shd w:val="clear" w:color="auto" w:fill="FFFFFF"/>
            <w:lang w:val="en-US"/>
          </w:rPr>
          <w:t>https://doi.org/10.1146/annurev-polisci-051120-112501</w:t>
        </w:r>
      </w:hyperlink>
    </w:p>
    <w:p w14:paraId="6F72E406"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n-US"/>
        </w:rPr>
      </w:pPr>
      <w:r w:rsidRPr="00FA463C">
        <w:rPr>
          <w:rFonts w:ascii="Arial" w:hAnsi="Arial" w:cs="Arial"/>
          <w:bCs/>
          <w:iCs/>
          <w:color w:val="222222"/>
          <w:sz w:val="20"/>
          <w:szCs w:val="20"/>
          <w:shd w:val="clear" w:color="auto" w:fill="FFFFFF"/>
          <w:lang w:val="es-MX"/>
        </w:rPr>
        <w:t xml:space="preserve">Haug, N., Dan, S., &amp; Mergel, I. (2024). </w:t>
      </w:r>
      <w:r w:rsidRPr="00FA463C">
        <w:rPr>
          <w:rFonts w:ascii="Arial" w:hAnsi="Arial" w:cs="Arial"/>
          <w:bCs/>
          <w:iCs/>
          <w:color w:val="222222"/>
          <w:sz w:val="20"/>
          <w:szCs w:val="20"/>
          <w:shd w:val="clear" w:color="auto" w:fill="FFFFFF"/>
          <w:lang w:val="en-US"/>
        </w:rPr>
        <w:t>Digitally-induced change in the public sector: A systematic review and research agenda. </w:t>
      </w:r>
      <w:r w:rsidRPr="00FA463C">
        <w:rPr>
          <w:rFonts w:ascii="Arial" w:hAnsi="Arial" w:cs="Arial"/>
          <w:bCs/>
          <w:i/>
          <w:iCs/>
          <w:color w:val="222222"/>
          <w:sz w:val="20"/>
          <w:szCs w:val="20"/>
          <w:shd w:val="clear" w:color="auto" w:fill="FFFFFF"/>
          <w:lang w:val="en-US"/>
        </w:rPr>
        <w:t>Public Management Review, 26</w:t>
      </w:r>
      <w:r w:rsidRPr="00FA463C">
        <w:rPr>
          <w:rFonts w:ascii="Arial" w:hAnsi="Arial" w:cs="Arial"/>
          <w:bCs/>
          <w:iCs/>
          <w:color w:val="222222"/>
          <w:sz w:val="20"/>
          <w:szCs w:val="20"/>
          <w:shd w:val="clear" w:color="auto" w:fill="FFFFFF"/>
          <w:lang w:val="en-US"/>
        </w:rPr>
        <w:t>(7), 1963–1987. </w:t>
      </w:r>
      <w:hyperlink r:id="rId34" w:tgtFrame="_blank" w:history="1">
        <w:r w:rsidRPr="00FA463C">
          <w:rPr>
            <w:rStyle w:val="Hipervnculo"/>
            <w:rFonts w:ascii="Arial" w:hAnsi="Arial" w:cs="Arial"/>
            <w:bCs/>
            <w:iCs/>
            <w:sz w:val="20"/>
            <w:szCs w:val="20"/>
            <w:shd w:val="clear" w:color="auto" w:fill="FFFFFF"/>
            <w:lang w:val="en-US"/>
          </w:rPr>
          <w:t>https://doi.org/10.1080/14719037.2023.2234917</w:t>
        </w:r>
      </w:hyperlink>
    </w:p>
    <w:p w14:paraId="25A2BE21"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n-US"/>
        </w:rPr>
      </w:pPr>
      <w:r w:rsidRPr="00FA463C">
        <w:rPr>
          <w:rFonts w:ascii="Arial" w:hAnsi="Arial" w:cs="Arial"/>
          <w:bCs/>
          <w:iCs/>
          <w:color w:val="222222"/>
          <w:sz w:val="20"/>
          <w:szCs w:val="20"/>
          <w:shd w:val="clear" w:color="auto" w:fill="FFFFFF"/>
          <w:lang w:val="en-US"/>
        </w:rPr>
        <w:t>Iacovino, N. M., Barsanti, S., &amp; Cinquini, L. (2017). Public organizations between old public administration, new public management and public governance: The case of the Tuscany Region. </w:t>
      </w:r>
      <w:r w:rsidRPr="00FA463C">
        <w:rPr>
          <w:rFonts w:ascii="Arial" w:hAnsi="Arial" w:cs="Arial"/>
          <w:bCs/>
          <w:i/>
          <w:iCs/>
          <w:color w:val="222222"/>
          <w:sz w:val="20"/>
          <w:szCs w:val="20"/>
          <w:shd w:val="clear" w:color="auto" w:fill="FFFFFF"/>
          <w:lang w:val="en-US"/>
        </w:rPr>
        <w:t>Public Organization Review, 17</w:t>
      </w:r>
      <w:r w:rsidRPr="00FA463C">
        <w:rPr>
          <w:rFonts w:ascii="Arial" w:hAnsi="Arial" w:cs="Arial"/>
          <w:bCs/>
          <w:iCs/>
          <w:color w:val="222222"/>
          <w:sz w:val="20"/>
          <w:szCs w:val="20"/>
          <w:shd w:val="clear" w:color="auto" w:fill="FFFFFF"/>
          <w:lang w:val="en-US"/>
        </w:rPr>
        <w:t>, 61–82. </w:t>
      </w:r>
      <w:hyperlink r:id="rId35" w:tgtFrame="_blank" w:history="1">
        <w:r w:rsidRPr="00FA463C">
          <w:rPr>
            <w:rStyle w:val="Hipervnculo"/>
            <w:rFonts w:ascii="Arial" w:hAnsi="Arial" w:cs="Arial"/>
            <w:bCs/>
            <w:iCs/>
            <w:sz w:val="20"/>
            <w:szCs w:val="20"/>
            <w:shd w:val="clear" w:color="auto" w:fill="FFFFFF"/>
            <w:lang w:val="en-US"/>
          </w:rPr>
          <w:t>https://doi.org/10.1007/s11115-015-0327-x</w:t>
        </w:r>
      </w:hyperlink>
    </w:p>
    <w:p w14:paraId="6F64CCE1"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n-US"/>
        </w:rPr>
      </w:pPr>
      <w:r w:rsidRPr="00FA463C">
        <w:rPr>
          <w:rFonts w:ascii="Arial" w:hAnsi="Arial" w:cs="Arial"/>
          <w:bCs/>
          <w:iCs/>
          <w:color w:val="222222"/>
          <w:sz w:val="20"/>
          <w:szCs w:val="20"/>
          <w:shd w:val="clear" w:color="auto" w:fill="FFFFFF"/>
          <w:lang w:val="en-US"/>
        </w:rPr>
        <w:t>Idzi, F. M., &amp; Correa, R. (2022). Digital governance: Government strategies that impact public services. </w:t>
      </w:r>
      <w:r w:rsidRPr="00FA463C">
        <w:rPr>
          <w:rFonts w:ascii="Arial" w:hAnsi="Arial" w:cs="Arial"/>
          <w:bCs/>
          <w:i/>
          <w:iCs/>
          <w:color w:val="222222"/>
          <w:sz w:val="20"/>
          <w:szCs w:val="20"/>
          <w:shd w:val="clear" w:color="auto" w:fill="FFFFFF"/>
          <w:lang w:val="en-US"/>
        </w:rPr>
        <w:t>Global Public Policy and Governance, 2</w:t>
      </w:r>
      <w:r w:rsidRPr="00FA463C">
        <w:rPr>
          <w:rFonts w:ascii="Arial" w:hAnsi="Arial" w:cs="Arial"/>
          <w:bCs/>
          <w:iCs/>
          <w:color w:val="222222"/>
          <w:sz w:val="20"/>
          <w:szCs w:val="20"/>
          <w:shd w:val="clear" w:color="auto" w:fill="FFFFFF"/>
          <w:lang w:val="en-US"/>
        </w:rPr>
        <w:t>, 427–452. </w:t>
      </w:r>
      <w:hyperlink r:id="rId36" w:tgtFrame="_blank" w:history="1">
        <w:r w:rsidRPr="00FA463C">
          <w:rPr>
            <w:rStyle w:val="Hipervnculo"/>
            <w:rFonts w:ascii="Arial" w:hAnsi="Arial" w:cs="Arial"/>
            <w:bCs/>
            <w:iCs/>
            <w:sz w:val="20"/>
            <w:szCs w:val="20"/>
            <w:shd w:val="clear" w:color="auto" w:fill="FFFFFF"/>
            <w:lang w:val="en-US"/>
          </w:rPr>
          <w:t>https://doi.org/10.1007/s43508-022-00055-w</w:t>
        </w:r>
      </w:hyperlink>
    </w:p>
    <w:p w14:paraId="0914CC3A"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n-US"/>
        </w:rPr>
      </w:pPr>
      <w:r w:rsidRPr="00FA463C">
        <w:rPr>
          <w:rFonts w:ascii="Arial" w:hAnsi="Arial" w:cs="Arial"/>
          <w:bCs/>
          <w:iCs/>
          <w:color w:val="222222"/>
          <w:sz w:val="20"/>
          <w:szCs w:val="20"/>
          <w:shd w:val="clear" w:color="auto" w:fill="FFFFFF"/>
          <w:lang w:val="en-US"/>
        </w:rPr>
        <w:t>Jia, N., Huang, K. G., &amp; Zhang, C. M. (2019). Public governance, corporate governance, and firm innovation: An examination of state-owned enterprises. </w:t>
      </w:r>
      <w:r w:rsidRPr="00FA463C">
        <w:rPr>
          <w:rFonts w:ascii="Arial" w:hAnsi="Arial" w:cs="Arial"/>
          <w:bCs/>
          <w:i/>
          <w:iCs/>
          <w:color w:val="222222"/>
          <w:sz w:val="20"/>
          <w:szCs w:val="20"/>
          <w:shd w:val="clear" w:color="auto" w:fill="FFFFFF"/>
          <w:lang w:val="en-US"/>
        </w:rPr>
        <w:t>Academy of Management Journal, 62</w:t>
      </w:r>
      <w:r w:rsidRPr="00FA463C">
        <w:rPr>
          <w:rFonts w:ascii="Arial" w:hAnsi="Arial" w:cs="Arial"/>
          <w:bCs/>
          <w:iCs/>
          <w:color w:val="222222"/>
          <w:sz w:val="20"/>
          <w:szCs w:val="20"/>
          <w:shd w:val="clear" w:color="auto" w:fill="FFFFFF"/>
          <w:lang w:val="en-US"/>
        </w:rPr>
        <w:t>(1), 220–247. </w:t>
      </w:r>
      <w:hyperlink r:id="rId37" w:tgtFrame="_blank" w:history="1">
        <w:r w:rsidRPr="00FA463C">
          <w:rPr>
            <w:rStyle w:val="Hipervnculo"/>
            <w:rFonts w:ascii="Arial" w:hAnsi="Arial" w:cs="Arial"/>
            <w:bCs/>
            <w:iCs/>
            <w:sz w:val="20"/>
            <w:szCs w:val="20"/>
            <w:shd w:val="clear" w:color="auto" w:fill="FFFFFF"/>
            <w:lang w:val="en-US"/>
          </w:rPr>
          <w:t>https://doi.org/10.5465/amj.2016.0543</w:t>
        </w:r>
      </w:hyperlink>
    </w:p>
    <w:p w14:paraId="7DEB838A"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n-US"/>
        </w:rPr>
      </w:pPr>
      <w:r w:rsidRPr="00FA463C">
        <w:rPr>
          <w:rFonts w:ascii="Arial" w:hAnsi="Arial" w:cs="Arial"/>
          <w:bCs/>
          <w:iCs/>
          <w:color w:val="222222"/>
          <w:sz w:val="20"/>
          <w:szCs w:val="20"/>
          <w:shd w:val="clear" w:color="auto" w:fill="FFFFFF"/>
          <w:lang w:val="en-US"/>
        </w:rPr>
        <w:t>Lawal, C., Friday, S., Ayodeji, D., &amp; Sobowale, A. (2024). Advances in public-private partnerships for strengthening national financial governance and crisis response systems. </w:t>
      </w:r>
      <w:r w:rsidRPr="00FA463C">
        <w:rPr>
          <w:rFonts w:ascii="Arial" w:hAnsi="Arial" w:cs="Arial"/>
          <w:bCs/>
          <w:i/>
          <w:iCs/>
          <w:color w:val="222222"/>
          <w:sz w:val="20"/>
          <w:szCs w:val="20"/>
          <w:shd w:val="clear" w:color="auto" w:fill="FFFFFF"/>
          <w:lang w:val="en-US"/>
        </w:rPr>
        <w:t>International Journal of Advanced Multidisciplinary Research and Studies, 6</w:t>
      </w:r>
      <w:r w:rsidRPr="00FA463C">
        <w:rPr>
          <w:rFonts w:ascii="Arial" w:hAnsi="Arial" w:cs="Arial"/>
          <w:bCs/>
          <w:iCs/>
          <w:color w:val="222222"/>
          <w:sz w:val="20"/>
          <w:szCs w:val="20"/>
          <w:shd w:val="clear" w:color="auto" w:fill="FFFFFF"/>
          <w:lang w:val="en-US"/>
        </w:rPr>
        <w:t>(4), 1700–1719. </w:t>
      </w:r>
      <w:hyperlink r:id="rId38" w:tgtFrame="_blank" w:history="1">
        <w:r w:rsidRPr="00FA463C">
          <w:rPr>
            <w:rStyle w:val="Hipervnculo"/>
            <w:rFonts w:ascii="Arial" w:hAnsi="Arial" w:cs="Arial"/>
            <w:bCs/>
            <w:iCs/>
            <w:sz w:val="20"/>
            <w:szCs w:val="20"/>
            <w:shd w:val="clear" w:color="auto" w:fill="FFFFFF"/>
            <w:lang w:val="en-US"/>
          </w:rPr>
          <w:t>https://doi.org/10.62225/2583049X.2024.4.6.4101</w:t>
        </w:r>
      </w:hyperlink>
    </w:p>
    <w:p w14:paraId="4F22475C"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n-US"/>
        </w:rPr>
      </w:pPr>
      <w:r w:rsidRPr="00FA463C">
        <w:rPr>
          <w:rFonts w:ascii="Arial" w:hAnsi="Arial" w:cs="Arial"/>
          <w:bCs/>
          <w:iCs/>
          <w:color w:val="222222"/>
          <w:sz w:val="20"/>
          <w:szCs w:val="20"/>
          <w:shd w:val="clear" w:color="auto" w:fill="FFFFFF"/>
          <w:lang w:val="es-MX"/>
        </w:rPr>
        <w:t>Longo, F. (2020). Gobernanza pública para la innovación. </w:t>
      </w:r>
      <w:r w:rsidRPr="00FA463C">
        <w:rPr>
          <w:rFonts w:ascii="Arial" w:hAnsi="Arial" w:cs="Arial"/>
          <w:bCs/>
          <w:i/>
          <w:iCs/>
          <w:color w:val="222222"/>
          <w:sz w:val="20"/>
          <w:szCs w:val="20"/>
          <w:shd w:val="clear" w:color="auto" w:fill="FFFFFF"/>
          <w:lang w:val="es-MX"/>
        </w:rPr>
        <w:t>Revista del CLAD Reforma y Democracia, 76.</w:t>
      </w:r>
      <w:r w:rsidRPr="00FA463C">
        <w:rPr>
          <w:rFonts w:ascii="Arial" w:hAnsi="Arial" w:cs="Arial"/>
          <w:bCs/>
          <w:iCs/>
          <w:color w:val="222222"/>
          <w:sz w:val="20"/>
          <w:szCs w:val="20"/>
          <w:shd w:val="clear" w:color="auto" w:fill="FFFFFF"/>
          <w:lang w:val="es-MX"/>
        </w:rPr>
        <w:t> </w:t>
      </w:r>
      <w:hyperlink r:id="rId39" w:tgtFrame="_blank" w:history="1">
        <w:r w:rsidRPr="00FA463C">
          <w:rPr>
            <w:rStyle w:val="Hipervnculo"/>
            <w:rFonts w:ascii="Arial" w:hAnsi="Arial" w:cs="Arial"/>
            <w:bCs/>
            <w:iCs/>
            <w:sz w:val="20"/>
            <w:szCs w:val="20"/>
            <w:shd w:val="clear" w:color="auto" w:fill="FFFFFF"/>
            <w:lang w:val="en-US"/>
          </w:rPr>
          <w:t>https://doi.org/10.69733/clad.ryd.n76.a198</w:t>
        </w:r>
      </w:hyperlink>
    </w:p>
    <w:p w14:paraId="71186292"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n-US"/>
        </w:rPr>
      </w:pPr>
      <w:r w:rsidRPr="00FA463C">
        <w:rPr>
          <w:rFonts w:ascii="Arial" w:hAnsi="Arial" w:cs="Arial"/>
          <w:bCs/>
          <w:iCs/>
          <w:color w:val="222222"/>
          <w:sz w:val="20"/>
          <w:szCs w:val="20"/>
          <w:shd w:val="clear" w:color="auto" w:fill="FFFFFF"/>
          <w:lang w:val="en-US"/>
        </w:rPr>
        <w:t>Massey, A., &amp; Johnston-Miller (2016). Governance: Public governance to social innovation? </w:t>
      </w:r>
      <w:r w:rsidRPr="00FA463C">
        <w:rPr>
          <w:rFonts w:ascii="Arial" w:hAnsi="Arial" w:cs="Arial"/>
          <w:bCs/>
          <w:i/>
          <w:iCs/>
          <w:color w:val="222222"/>
          <w:sz w:val="20"/>
          <w:szCs w:val="20"/>
          <w:shd w:val="clear" w:color="auto" w:fill="FFFFFF"/>
          <w:lang w:val="en-US"/>
        </w:rPr>
        <w:t>Policy &amp; Politics, 44</w:t>
      </w:r>
      <w:r w:rsidRPr="00FA463C">
        <w:rPr>
          <w:rFonts w:ascii="Arial" w:hAnsi="Arial" w:cs="Arial"/>
          <w:bCs/>
          <w:iCs/>
          <w:color w:val="222222"/>
          <w:sz w:val="20"/>
          <w:szCs w:val="20"/>
          <w:shd w:val="clear" w:color="auto" w:fill="FFFFFF"/>
          <w:lang w:val="en-US"/>
        </w:rPr>
        <w:t>(4), 663–675. </w:t>
      </w:r>
      <w:hyperlink r:id="rId40" w:tgtFrame="_blank" w:history="1">
        <w:r w:rsidRPr="00FA463C">
          <w:rPr>
            <w:rStyle w:val="Hipervnculo"/>
            <w:rFonts w:ascii="Arial" w:hAnsi="Arial" w:cs="Arial"/>
            <w:bCs/>
            <w:iCs/>
            <w:sz w:val="20"/>
            <w:szCs w:val="20"/>
            <w:shd w:val="clear" w:color="auto" w:fill="FFFFFF"/>
            <w:lang w:val="en-US"/>
          </w:rPr>
          <w:t>https://doi.org/10.1332/030557314X14042230109592</w:t>
        </w:r>
      </w:hyperlink>
    </w:p>
    <w:p w14:paraId="4F8A6630"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n-US"/>
        </w:rPr>
      </w:pPr>
      <w:r w:rsidRPr="00FA463C">
        <w:rPr>
          <w:rFonts w:ascii="Arial" w:hAnsi="Arial" w:cs="Arial"/>
          <w:bCs/>
          <w:iCs/>
          <w:color w:val="222222"/>
          <w:sz w:val="20"/>
          <w:szCs w:val="20"/>
          <w:shd w:val="clear" w:color="auto" w:fill="FFFFFF"/>
          <w:lang w:val="en-US"/>
        </w:rPr>
        <w:t>McMullin, C. (2020). Challenging the necessity of New Public Governance: Co-production by third sector organizations under different models of public management. </w:t>
      </w:r>
      <w:r w:rsidRPr="00FA463C">
        <w:rPr>
          <w:rFonts w:ascii="Arial" w:hAnsi="Arial" w:cs="Arial"/>
          <w:bCs/>
          <w:i/>
          <w:iCs/>
          <w:color w:val="222222"/>
          <w:sz w:val="20"/>
          <w:szCs w:val="20"/>
          <w:shd w:val="clear" w:color="auto" w:fill="FFFFFF"/>
          <w:lang w:val="en-US"/>
        </w:rPr>
        <w:t>Public Administration, 99</w:t>
      </w:r>
      <w:r w:rsidRPr="00FA463C">
        <w:rPr>
          <w:rFonts w:ascii="Arial" w:hAnsi="Arial" w:cs="Arial"/>
          <w:bCs/>
          <w:iCs/>
          <w:color w:val="222222"/>
          <w:sz w:val="20"/>
          <w:szCs w:val="20"/>
          <w:shd w:val="clear" w:color="auto" w:fill="FFFFFF"/>
          <w:lang w:val="en-US"/>
        </w:rPr>
        <w:t>(1), 5–22. </w:t>
      </w:r>
      <w:hyperlink r:id="rId41" w:tgtFrame="_blank" w:history="1">
        <w:r w:rsidRPr="00FA463C">
          <w:rPr>
            <w:rStyle w:val="Hipervnculo"/>
            <w:rFonts w:ascii="Arial" w:hAnsi="Arial" w:cs="Arial"/>
            <w:bCs/>
            <w:iCs/>
            <w:sz w:val="20"/>
            <w:szCs w:val="20"/>
            <w:shd w:val="clear" w:color="auto" w:fill="FFFFFF"/>
            <w:lang w:val="en-US"/>
          </w:rPr>
          <w:t>https://doi.org/10.1111/padm.12672</w:t>
        </w:r>
      </w:hyperlink>
    </w:p>
    <w:p w14:paraId="0B7F0FB0"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n-US"/>
        </w:rPr>
      </w:pPr>
      <w:r w:rsidRPr="00FA463C">
        <w:rPr>
          <w:rFonts w:ascii="Arial" w:hAnsi="Arial" w:cs="Arial"/>
          <w:bCs/>
          <w:iCs/>
          <w:color w:val="222222"/>
          <w:sz w:val="20"/>
          <w:szCs w:val="20"/>
          <w:shd w:val="clear" w:color="auto" w:fill="FFFFFF"/>
          <w:lang w:val="en-US"/>
        </w:rPr>
        <w:t>Meijer, A. J., Lips, M., &amp; Chen, K. (2019). Open governance: A new paradigm for understanding urban governance in an information age. </w:t>
      </w:r>
      <w:r w:rsidRPr="00FA463C">
        <w:rPr>
          <w:rFonts w:ascii="Arial" w:hAnsi="Arial" w:cs="Arial"/>
          <w:bCs/>
          <w:i/>
          <w:iCs/>
          <w:color w:val="222222"/>
          <w:sz w:val="20"/>
          <w:szCs w:val="20"/>
          <w:shd w:val="clear" w:color="auto" w:fill="FFFFFF"/>
          <w:lang w:val="en-US"/>
        </w:rPr>
        <w:t>Frontiers in Sustainable Cities, 1</w:t>
      </w:r>
      <w:r w:rsidRPr="00FA463C">
        <w:rPr>
          <w:rFonts w:ascii="Arial" w:hAnsi="Arial" w:cs="Arial"/>
          <w:bCs/>
          <w:iCs/>
          <w:color w:val="222222"/>
          <w:sz w:val="20"/>
          <w:szCs w:val="20"/>
          <w:shd w:val="clear" w:color="auto" w:fill="FFFFFF"/>
          <w:lang w:val="en-US"/>
        </w:rPr>
        <w:t>(3). </w:t>
      </w:r>
      <w:hyperlink r:id="rId42" w:tgtFrame="_blank" w:history="1">
        <w:r w:rsidRPr="00FA463C">
          <w:rPr>
            <w:rStyle w:val="Hipervnculo"/>
            <w:rFonts w:ascii="Arial" w:hAnsi="Arial" w:cs="Arial"/>
            <w:bCs/>
            <w:iCs/>
            <w:sz w:val="20"/>
            <w:szCs w:val="20"/>
            <w:shd w:val="clear" w:color="auto" w:fill="FFFFFF"/>
            <w:lang w:val="en-US"/>
          </w:rPr>
          <w:t>https://doi.org/10.3389/frsc.2019.00003</w:t>
        </w:r>
      </w:hyperlink>
    </w:p>
    <w:p w14:paraId="24899B05"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s-MX"/>
        </w:rPr>
      </w:pPr>
      <w:r w:rsidRPr="00FA463C">
        <w:rPr>
          <w:rFonts w:ascii="Arial" w:hAnsi="Arial" w:cs="Arial"/>
          <w:bCs/>
          <w:iCs/>
          <w:color w:val="222222"/>
          <w:sz w:val="20"/>
          <w:szCs w:val="20"/>
          <w:shd w:val="clear" w:color="auto" w:fill="FFFFFF"/>
          <w:lang w:val="en-US"/>
        </w:rPr>
        <w:t xml:space="preserve">Mendoza, R. P., Vela, L., &amp; Dávila, J. D. (2024). </w:t>
      </w:r>
      <w:r w:rsidRPr="00FA463C">
        <w:rPr>
          <w:rFonts w:ascii="Arial" w:hAnsi="Arial" w:cs="Arial"/>
          <w:bCs/>
          <w:iCs/>
          <w:color w:val="222222"/>
          <w:sz w:val="20"/>
          <w:szCs w:val="20"/>
          <w:shd w:val="clear" w:color="auto" w:fill="FFFFFF"/>
          <w:lang w:val="es-MX"/>
        </w:rPr>
        <w:t>La gobernanza y la optimización del gasto público. Una revisión de literatura. </w:t>
      </w:r>
      <w:r w:rsidRPr="00FA463C">
        <w:rPr>
          <w:rFonts w:ascii="Arial" w:hAnsi="Arial" w:cs="Arial"/>
          <w:bCs/>
          <w:i/>
          <w:iCs/>
          <w:color w:val="222222"/>
          <w:sz w:val="20"/>
          <w:szCs w:val="20"/>
          <w:shd w:val="clear" w:color="auto" w:fill="FFFFFF"/>
          <w:lang w:val="es-MX"/>
        </w:rPr>
        <w:t>Suma de Negocios, 15</w:t>
      </w:r>
      <w:r w:rsidRPr="00FA463C">
        <w:rPr>
          <w:rFonts w:ascii="Arial" w:hAnsi="Arial" w:cs="Arial"/>
          <w:bCs/>
          <w:iCs/>
          <w:color w:val="222222"/>
          <w:sz w:val="20"/>
          <w:szCs w:val="20"/>
          <w:shd w:val="clear" w:color="auto" w:fill="FFFFFF"/>
          <w:lang w:val="es-MX"/>
        </w:rPr>
        <w:t>(32), 59–69. </w:t>
      </w:r>
      <w:hyperlink r:id="rId43" w:tgtFrame="_blank" w:history="1">
        <w:r w:rsidRPr="00FA463C">
          <w:rPr>
            <w:rStyle w:val="Hipervnculo"/>
            <w:rFonts w:ascii="Arial" w:hAnsi="Arial" w:cs="Arial"/>
            <w:bCs/>
            <w:iCs/>
            <w:sz w:val="20"/>
            <w:szCs w:val="20"/>
            <w:shd w:val="clear" w:color="auto" w:fill="FFFFFF"/>
            <w:lang w:val="es-MX"/>
          </w:rPr>
          <w:t>https://doi.org/10.14349/sumneg/2024.V15.N32.A7</w:t>
        </w:r>
      </w:hyperlink>
    </w:p>
    <w:p w14:paraId="4E0CDE9D"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n-US"/>
        </w:rPr>
      </w:pPr>
      <w:r w:rsidRPr="00FA463C">
        <w:rPr>
          <w:rFonts w:ascii="Arial" w:hAnsi="Arial" w:cs="Arial"/>
          <w:bCs/>
          <w:iCs/>
          <w:color w:val="222222"/>
          <w:sz w:val="20"/>
          <w:szCs w:val="20"/>
          <w:shd w:val="clear" w:color="auto" w:fill="FFFFFF"/>
          <w:lang w:val="es-MX"/>
        </w:rPr>
        <w:t>Mercado-Marrufo, C. E., &amp; Baylon-Salvador, E. G. (2024). Hacia una gobernanza pública inteligente desde la gobernabilidad. </w:t>
      </w:r>
      <w:r w:rsidRPr="00FA463C">
        <w:rPr>
          <w:rFonts w:ascii="Arial" w:hAnsi="Arial" w:cs="Arial"/>
          <w:bCs/>
          <w:i/>
          <w:iCs/>
          <w:color w:val="222222"/>
          <w:sz w:val="20"/>
          <w:szCs w:val="20"/>
          <w:shd w:val="clear" w:color="auto" w:fill="FFFFFF"/>
          <w:lang w:val="en-US"/>
        </w:rPr>
        <w:t>European Public &amp; Social Innovation Review, 9</w:t>
      </w:r>
      <w:r w:rsidRPr="00FA463C">
        <w:rPr>
          <w:rFonts w:ascii="Arial" w:hAnsi="Arial" w:cs="Arial"/>
          <w:bCs/>
          <w:iCs/>
          <w:color w:val="222222"/>
          <w:sz w:val="20"/>
          <w:szCs w:val="20"/>
          <w:shd w:val="clear" w:color="auto" w:fill="FFFFFF"/>
          <w:lang w:val="en-US"/>
        </w:rPr>
        <w:t>, 1–18. </w:t>
      </w:r>
      <w:hyperlink r:id="rId44" w:tgtFrame="_blank" w:history="1">
        <w:r w:rsidRPr="00FA463C">
          <w:rPr>
            <w:rStyle w:val="Hipervnculo"/>
            <w:rFonts w:ascii="Arial" w:hAnsi="Arial" w:cs="Arial"/>
            <w:bCs/>
            <w:iCs/>
            <w:sz w:val="20"/>
            <w:szCs w:val="20"/>
            <w:shd w:val="clear" w:color="auto" w:fill="FFFFFF"/>
            <w:lang w:val="en-US"/>
          </w:rPr>
          <w:t>https://doi.org/10.31637/epsir-2024-1072</w:t>
        </w:r>
      </w:hyperlink>
    </w:p>
    <w:p w14:paraId="5EC51808"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n-US"/>
        </w:rPr>
      </w:pPr>
      <w:r w:rsidRPr="00FA463C">
        <w:rPr>
          <w:rFonts w:ascii="Arial" w:hAnsi="Arial" w:cs="Arial"/>
          <w:bCs/>
          <w:iCs/>
          <w:color w:val="222222"/>
          <w:sz w:val="20"/>
          <w:szCs w:val="20"/>
          <w:shd w:val="clear" w:color="auto" w:fill="FFFFFF"/>
          <w:lang w:val="en-US"/>
        </w:rPr>
        <w:t>Meuleman, L. (2021). Public administration and governance for the SDGs: Navigating between change and stability. </w:t>
      </w:r>
      <w:r w:rsidRPr="00FA463C">
        <w:rPr>
          <w:rFonts w:ascii="Arial" w:hAnsi="Arial" w:cs="Arial"/>
          <w:bCs/>
          <w:i/>
          <w:iCs/>
          <w:color w:val="222222"/>
          <w:sz w:val="20"/>
          <w:szCs w:val="20"/>
          <w:shd w:val="clear" w:color="auto" w:fill="FFFFFF"/>
          <w:lang w:val="en-US"/>
        </w:rPr>
        <w:t>Sustainability, 13</w:t>
      </w:r>
      <w:r w:rsidRPr="00FA463C">
        <w:rPr>
          <w:rFonts w:ascii="Arial" w:hAnsi="Arial" w:cs="Arial"/>
          <w:bCs/>
          <w:iCs/>
          <w:color w:val="222222"/>
          <w:sz w:val="20"/>
          <w:szCs w:val="20"/>
          <w:shd w:val="clear" w:color="auto" w:fill="FFFFFF"/>
          <w:lang w:val="en-US"/>
        </w:rPr>
        <w:t>(11), 5914. </w:t>
      </w:r>
      <w:hyperlink r:id="rId45" w:tgtFrame="_blank" w:history="1">
        <w:r w:rsidRPr="00FA463C">
          <w:rPr>
            <w:rStyle w:val="Hipervnculo"/>
            <w:rFonts w:ascii="Arial" w:hAnsi="Arial" w:cs="Arial"/>
            <w:bCs/>
            <w:iCs/>
            <w:sz w:val="20"/>
            <w:szCs w:val="20"/>
            <w:shd w:val="clear" w:color="auto" w:fill="FFFFFF"/>
            <w:lang w:val="en-US"/>
          </w:rPr>
          <w:t>https://doi.org/10.3390/su13115914</w:t>
        </w:r>
      </w:hyperlink>
    </w:p>
    <w:p w14:paraId="4A37D36E"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n-US"/>
        </w:rPr>
      </w:pPr>
      <w:r w:rsidRPr="00FA463C">
        <w:rPr>
          <w:rFonts w:ascii="Arial" w:hAnsi="Arial" w:cs="Arial"/>
          <w:bCs/>
          <w:iCs/>
          <w:color w:val="222222"/>
          <w:sz w:val="20"/>
          <w:szCs w:val="20"/>
          <w:shd w:val="clear" w:color="auto" w:fill="FFFFFF"/>
          <w:lang w:val="en-US"/>
        </w:rPr>
        <w:t>Mishra, V., &amp; Mishra, M. P. (2023). PRISMA for review of management literature–method, merits, and limitations–an academic review. In </w:t>
      </w:r>
      <w:r w:rsidRPr="00FA463C">
        <w:rPr>
          <w:rFonts w:ascii="Arial" w:hAnsi="Arial" w:cs="Arial"/>
          <w:bCs/>
          <w:i/>
          <w:iCs/>
          <w:color w:val="222222"/>
          <w:sz w:val="20"/>
          <w:szCs w:val="20"/>
          <w:shd w:val="clear" w:color="auto" w:fill="FFFFFF"/>
          <w:lang w:val="en-US"/>
        </w:rPr>
        <w:t>Advancing Methodologies of Conducting Literature Review in Management Domain</w:t>
      </w:r>
      <w:r w:rsidRPr="00FA463C">
        <w:rPr>
          <w:rFonts w:ascii="Arial" w:hAnsi="Arial" w:cs="Arial"/>
          <w:bCs/>
          <w:iCs/>
          <w:color w:val="222222"/>
          <w:sz w:val="20"/>
          <w:szCs w:val="20"/>
          <w:shd w:val="clear" w:color="auto" w:fill="FFFFFF"/>
          <w:lang w:val="en-US"/>
        </w:rPr>
        <w:t> (pp. 125–136). </w:t>
      </w:r>
      <w:hyperlink r:id="rId46" w:tgtFrame="_blank" w:history="1">
        <w:r w:rsidRPr="00FA463C">
          <w:rPr>
            <w:rStyle w:val="Hipervnculo"/>
            <w:rFonts w:ascii="Arial" w:hAnsi="Arial" w:cs="Arial"/>
            <w:bCs/>
            <w:iCs/>
            <w:sz w:val="20"/>
            <w:szCs w:val="20"/>
            <w:shd w:val="clear" w:color="auto" w:fill="FFFFFF"/>
            <w:lang w:val="en-US"/>
          </w:rPr>
          <w:t>https://doi.org/10.1108/S2754-586520230000002007</w:t>
        </w:r>
      </w:hyperlink>
    </w:p>
    <w:p w14:paraId="5AB70BB6"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n-US"/>
        </w:rPr>
      </w:pPr>
      <w:r w:rsidRPr="00FA463C">
        <w:rPr>
          <w:rFonts w:ascii="Arial" w:hAnsi="Arial" w:cs="Arial"/>
          <w:bCs/>
          <w:iCs/>
          <w:color w:val="222222"/>
          <w:sz w:val="20"/>
          <w:szCs w:val="20"/>
          <w:shd w:val="clear" w:color="auto" w:fill="FFFFFF"/>
          <w:lang w:val="en-US"/>
        </w:rPr>
        <w:lastRenderedPageBreak/>
        <w:t>Prasad, M. (2024). Expanding practices of e-governance system in the contemporary world. </w:t>
      </w:r>
      <w:r w:rsidRPr="00FA463C">
        <w:rPr>
          <w:rFonts w:ascii="Arial" w:hAnsi="Arial" w:cs="Arial"/>
          <w:bCs/>
          <w:i/>
          <w:iCs/>
          <w:color w:val="222222"/>
          <w:sz w:val="20"/>
          <w:szCs w:val="20"/>
          <w:shd w:val="clear" w:color="auto" w:fill="FFFFFF"/>
          <w:lang w:val="en-US"/>
        </w:rPr>
        <w:t>Journey for Sustainable Development and Peace Journal, 2</w:t>
      </w:r>
      <w:r w:rsidRPr="00FA463C">
        <w:rPr>
          <w:rFonts w:ascii="Arial" w:hAnsi="Arial" w:cs="Arial"/>
          <w:bCs/>
          <w:iCs/>
          <w:color w:val="222222"/>
          <w:sz w:val="20"/>
          <w:szCs w:val="20"/>
          <w:shd w:val="clear" w:color="auto" w:fill="FFFFFF"/>
          <w:lang w:val="en-US"/>
        </w:rPr>
        <w:t>(2), 54–74. </w:t>
      </w:r>
      <w:hyperlink r:id="rId47" w:tgtFrame="_blank" w:history="1">
        <w:r w:rsidRPr="00FA463C">
          <w:rPr>
            <w:rStyle w:val="Hipervnculo"/>
            <w:rFonts w:ascii="Arial" w:hAnsi="Arial" w:cs="Arial"/>
            <w:bCs/>
            <w:iCs/>
            <w:sz w:val="20"/>
            <w:szCs w:val="20"/>
            <w:shd w:val="clear" w:color="auto" w:fill="FFFFFF"/>
            <w:lang w:val="en-US"/>
          </w:rPr>
          <w:t>https://doi.org/10.3126/jsdpj.v2i2.69570</w:t>
        </w:r>
      </w:hyperlink>
    </w:p>
    <w:p w14:paraId="3B491C69"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n-US"/>
        </w:rPr>
      </w:pPr>
      <w:r w:rsidRPr="00FA463C">
        <w:rPr>
          <w:rFonts w:ascii="Arial" w:hAnsi="Arial" w:cs="Arial"/>
          <w:bCs/>
          <w:iCs/>
          <w:color w:val="222222"/>
          <w:sz w:val="20"/>
          <w:szCs w:val="20"/>
          <w:shd w:val="clear" w:color="auto" w:fill="FFFFFF"/>
          <w:lang w:val="en-US"/>
        </w:rPr>
        <w:t>Riski, R. (2025). Public sector governance in local governments: Challenges and opportunities in West Pasaman Regency. </w:t>
      </w:r>
      <w:r w:rsidRPr="00FA463C">
        <w:rPr>
          <w:rFonts w:ascii="Arial" w:hAnsi="Arial" w:cs="Arial"/>
          <w:bCs/>
          <w:i/>
          <w:iCs/>
          <w:color w:val="222222"/>
          <w:sz w:val="20"/>
          <w:szCs w:val="20"/>
          <w:shd w:val="clear" w:color="auto" w:fill="FFFFFF"/>
          <w:lang w:val="en-US"/>
        </w:rPr>
        <w:t>Agile Governance and Innovation Measurement Journal, 2</w:t>
      </w:r>
      <w:r w:rsidRPr="00FA463C">
        <w:rPr>
          <w:rFonts w:ascii="Arial" w:hAnsi="Arial" w:cs="Arial"/>
          <w:bCs/>
          <w:iCs/>
          <w:color w:val="222222"/>
          <w:sz w:val="20"/>
          <w:szCs w:val="20"/>
          <w:shd w:val="clear" w:color="auto" w:fill="FFFFFF"/>
          <w:lang w:val="en-US"/>
        </w:rPr>
        <w:t>(1), 1–14. </w:t>
      </w:r>
      <w:hyperlink r:id="rId48" w:tgtFrame="_blank" w:history="1">
        <w:r w:rsidRPr="00FA463C">
          <w:rPr>
            <w:rStyle w:val="Hipervnculo"/>
            <w:rFonts w:ascii="Arial" w:hAnsi="Arial" w:cs="Arial"/>
            <w:bCs/>
            <w:iCs/>
            <w:sz w:val="20"/>
            <w:szCs w:val="20"/>
            <w:shd w:val="clear" w:color="auto" w:fill="FFFFFF"/>
            <w:lang w:val="en-US"/>
          </w:rPr>
          <w:t>https://doi.org/10.18196/agimjournal.v2i1.16</w:t>
        </w:r>
      </w:hyperlink>
    </w:p>
    <w:p w14:paraId="7ED3B312"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n-US"/>
        </w:rPr>
      </w:pPr>
      <w:r w:rsidRPr="00FA463C">
        <w:rPr>
          <w:rFonts w:ascii="Arial" w:hAnsi="Arial" w:cs="Arial"/>
          <w:bCs/>
          <w:iCs/>
          <w:color w:val="222222"/>
          <w:sz w:val="20"/>
          <w:szCs w:val="20"/>
          <w:shd w:val="clear" w:color="auto" w:fill="FFFFFF"/>
          <w:lang w:val="en-US"/>
        </w:rPr>
        <w:t>Risna, A. (2023). The impact of good governance on the quality of public management decision making. </w:t>
      </w:r>
      <w:r w:rsidRPr="00FA463C">
        <w:rPr>
          <w:rFonts w:ascii="Arial" w:hAnsi="Arial" w:cs="Arial"/>
          <w:bCs/>
          <w:i/>
          <w:iCs/>
          <w:color w:val="222222"/>
          <w:sz w:val="20"/>
          <w:szCs w:val="20"/>
          <w:shd w:val="clear" w:color="auto" w:fill="FFFFFF"/>
          <w:lang w:val="en-US"/>
        </w:rPr>
        <w:t>Journal of Contemporary Administration and Management (ADMAN), 1</w:t>
      </w:r>
      <w:r w:rsidRPr="00FA463C">
        <w:rPr>
          <w:rFonts w:ascii="Arial" w:hAnsi="Arial" w:cs="Arial"/>
          <w:bCs/>
          <w:iCs/>
          <w:color w:val="222222"/>
          <w:sz w:val="20"/>
          <w:szCs w:val="20"/>
          <w:shd w:val="clear" w:color="auto" w:fill="FFFFFF"/>
          <w:lang w:val="en-US"/>
        </w:rPr>
        <w:t>(2), 39–46. </w:t>
      </w:r>
      <w:hyperlink r:id="rId49" w:tgtFrame="_blank" w:history="1">
        <w:r w:rsidRPr="00FA463C">
          <w:rPr>
            <w:rStyle w:val="Hipervnculo"/>
            <w:rFonts w:ascii="Arial" w:hAnsi="Arial" w:cs="Arial"/>
            <w:bCs/>
            <w:iCs/>
            <w:sz w:val="20"/>
            <w:szCs w:val="20"/>
            <w:shd w:val="clear" w:color="auto" w:fill="FFFFFF"/>
            <w:lang w:val="en-US"/>
          </w:rPr>
          <w:t>https://doi.org/10.61100/adman.v1i2.21</w:t>
        </w:r>
      </w:hyperlink>
    </w:p>
    <w:p w14:paraId="1A89ABF5"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n-US"/>
        </w:rPr>
      </w:pPr>
      <w:r w:rsidRPr="00FA463C">
        <w:rPr>
          <w:rFonts w:ascii="Arial" w:hAnsi="Arial" w:cs="Arial"/>
          <w:bCs/>
          <w:iCs/>
          <w:color w:val="222222"/>
          <w:sz w:val="20"/>
          <w:szCs w:val="20"/>
          <w:shd w:val="clear" w:color="auto" w:fill="FFFFFF"/>
          <w:lang w:val="en-US"/>
        </w:rPr>
        <w:t>Rodríguez, M. P. (2015). Governance models for the delivery of public services through the Web 2.0 technologies: A political view in large Spanish municipalities. </w:t>
      </w:r>
      <w:r w:rsidRPr="00FA463C">
        <w:rPr>
          <w:rFonts w:ascii="Arial" w:hAnsi="Arial" w:cs="Arial"/>
          <w:bCs/>
          <w:i/>
          <w:iCs/>
          <w:color w:val="222222"/>
          <w:sz w:val="20"/>
          <w:szCs w:val="20"/>
          <w:shd w:val="clear" w:color="auto" w:fill="FFFFFF"/>
          <w:lang w:val="en-US"/>
        </w:rPr>
        <w:t>Social Science Computer Review</w:t>
      </w:r>
      <w:r w:rsidRPr="00FA463C">
        <w:rPr>
          <w:rFonts w:ascii="Arial" w:hAnsi="Arial" w:cs="Arial"/>
          <w:bCs/>
          <w:iCs/>
          <w:color w:val="222222"/>
          <w:sz w:val="20"/>
          <w:szCs w:val="20"/>
          <w:shd w:val="clear" w:color="auto" w:fill="FFFFFF"/>
          <w:lang w:val="en-US"/>
        </w:rPr>
        <w:t>, 1–23. </w:t>
      </w:r>
      <w:hyperlink r:id="rId50" w:tgtFrame="_blank" w:history="1">
        <w:r w:rsidRPr="00FA463C">
          <w:rPr>
            <w:rStyle w:val="Hipervnculo"/>
            <w:rFonts w:ascii="Arial" w:hAnsi="Arial" w:cs="Arial"/>
            <w:bCs/>
            <w:iCs/>
            <w:sz w:val="20"/>
            <w:szCs w:val="20"/>
            <w:shd w:val="clear" w:color="auto" w:fill="FFFFFF"/>
            <w:lang w:val="en-US"/>
          </w:rPr>
          <w:t>https://doi.org/10.1177/0894439315609919</w:t>
        </w:r>
      </w:hyperlink>
    </w:p>
    <w:p w14:paraId="2E969791"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n-US"/>
        </w:rPr>
      </w:pPr>
      <w:r w:rsidRPr="00FA463C">
        <w:rPr>
          <w:rFonts w:ascii="Arial" w:hAnsi="Arial" w:cs="Arial"/>
          <w:bCs/>
          <w:iCs/>
          <w:color w:val="222222"/>
          <w:sz w:val="20"/>
          <w:szCs w:val="20"/>
          <w:shd w:val="clear" w:color="auto" w:fill="FFFFFF"/>
          <w:lang w:val="en-US"/>
        </w:rPr>
        <w:t>Testi, N., Marconi, R., &amp; Pasher, E. (2025). Exploring the potential of blockchain technology for citizen engagement in smart governance. </w:t>
      </w:r>
      <w:r w:rsidRPr="00FA463C">
        <w:rPr>
          <w:rFonts w:ascii="Arial" w:hAnsi="Arial" w:cs="Arial"/>
          <w:bCs/>
          <w:i/>
          <w:iCs/>
          <w:color w:val="222222"/>
          <w:sz w:val="20"/>
          <w:szCs w:val="20"/>
          <w:shd w:val="clear" w:color="auto" w:fill="FFFFFF"/>
          <w:lang w:val="en-US"/>
        </w:rPr>
        <w:t>Open Research Europe, 3</w:t>
      </w:r>
      <w:r w:rsidRPr="00FA463C">
        <w:rPr>
          <w:rFonts w:ascii="Arial" w:hAnsi="Arial" w:cs="Arial"/>
          <w:bCs/>
          <w:iCs/>
          <w:color w:val="222222"/>
          <w:sz w:val="20"/>
          <w:szCs w:val="20"/>
          <w:shd w:val="clear" w:color="auto" w:fill="FFFFFF"/>
          <w:lang w:val="en-US"/>
        </w:rPr>
        <w:t>(183). </w:t>
      </w:r>
      <w:hyperlink r:id="rId51" w:tgtFrame="_blank" w:history="1">
        <w:r w:rsidRPr="00FA463C">
          <w:rPr>
            <w:rStyle w:val="Hipervnculo"/>
            <w:rFonts w:ascii="Arial" w:hAnsi="Arial" w:cs="Arial"/>
            <w:bCs/>
            <w:iCs/>
            <w:sz w:val="20"/>
            <w:szCs w:val="20"/>
            <w:shd w:val="clear" w:color="auto" w:fill="FFFFFF"/>
            <w:lang w:val="en-US"/>
          </w:rPr>
          <w:t>https://doi.org/10.12688/openreseurope.16153.4</w:t>
        </w:r>
      </w:hyperlink>
    </w:p>
    <w:p w14:paraId="62416D0A"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n-US"/>
        </w:rPr>
      </w:pPr>
      <w:r w:rsidRPr="00FA463C">
        <w:rPr>
          <w:rFonts w:ascii="Arial" w:hAnsi="Arial" w:cs="Arial"/>
          <w:bCs/>
          <w:iCs/>
          <w:color w:val="222222"/>
          <w:sz w:val="20"/>
          <w:szCs w:val="20"/>
          <w:shd w:val="clear" w:color="auto" w:fill="FFFFFF"/>
          <w:lang w:val="en-US"/>
        </w:rPr>
        <w:t>Thabit, S., Sancino, A., &amp; Mora, L. (2025). Strategic public value(s) governance: A systematic literature review and framework for analysis. </w:t>
      </w:r>
      <w:r w:rsidRPr="00FA463C">
        <w:rPr>
          <w:rFonts w:ascii="Arial" w:hAnsi="Arial" w:cs="Arial"/>
          <w:bCs/>
          <w:i/>
          <w:iCs/>
          <w:color w:val="222222"/>
          <w:sz w:val="20"/>
          <w:szCs w:val="20"/>
          <w:shd w:val="clear" w:color="auto" w:fill="FFFFFF"/>
          <w:lang w:val="en-US"/>
        </w:rPr>
        <w:t>Public Administration Review, 85</w:t>
      </w:r>
      <w:r w:rsidRPr="00FA463C">
        <w:rPr>
          <w:rFonts w:ascii="Arial" w:hAnsi="Arial" w:cs="Arial"/>
          <w:bCs/>
          <w:iCs/>
          <w:color w:val="222222"/>
          <w:sz w:val="20"/>
          <w:szCs w:val="20"/>
          <w:shd w:val="clear" w:color="auto" w:fill="FFFFFF"/>
          <w:lang w:val="en-US"/>
        </w:rPr>
        <w:t>(3), 885–906. </w:t>
      </w:r>
      <w:hyperlink r:id="rId52" w:tgtFrame="_blank" w:history="1">
        <w:r w:rsidRPr="00FA463C">
          <w:rPr>
            <w:rStyle w:val="Hipervnculo"/>
            <w:rFonts w:ascii="Arial" w:hAnsi="Arial" w:cs="Arial"/>
            <w:bCs/>
            <w:iCs/>
            <w:sz w:val="20"/>
            <w:szCs w:val="20"/>
            <w:shd w:val="clear" w:color="auto" w:fill="FFFFFF"/>
            <w:lang w:val="en-US"/>
          </w:rPr>
          <w:t>https://doi.org/10.1111/puar.13877</w:t>
        </w:r>
      </w:hyperlink>
    </w:p>
    <w:p w14:paraId="030110E6"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n-US"/>
        </w:rPr>
      </w:pPr>
      <w:r w:rsidRPr="00FA463C">
        <w:rPr>
          <w:rFonts w:ascii="Arial" w:hAnsi="Arial" w:cs="Arial"/>
          <w:bCs/>
          <w:iCs/>
          <w:color w:val="222222"/>
          <w:sz w:val="20"/>
          <w:szCs w:val="20"/>
          <w:shd w:val="clear" w:color="auto" w:fill="FFFFFF"/>
          <w:lang w:val="en-US"/>
        </w:rPr>
        <w:t xml:space="preserve">Tomaževič, N., </w:t>
      </w:r>
      <w:bookmarkStart w:id="1" w:name="_GoBack"/>
      <w:r w:rsidRPr="00FA463C">
        <w:rPr>
          <w:rFonts w:ascii="Arial" w:hAnsi="Arial" w:cs="Arial"/>
          <w:bCs/>
          <w:iCs/>
          <w:color w:val="222222"/>
          <w:sz w:val="20"/>
          <w:szCs w:val="20"/>
          <w:shd w:val="clear" w:color="auto" w:fill="FFFFFF"/>
          <w:lang w:val="en-US"/>
        </w:rPr>
        <w:t>Kovač, P., Ravšelj, D., Umek, L., Babaoğlu, C., Bohatá, M., Hirsch, B., Kulaç, O., Nurlybaeva, G. K., Schäfer, F.-S., &amp; Aristovnik, A. (2023). The role of agile values in enhancing good governance in public administration during the COVID-19 crisis: An international survey. </w:t>
      </w:r>
      <w:r w:rsidRPr="00FA463C">
        <w:rPr>
          <w:rFonts w:ascii="Arial" w:hAnsi="Arial" w:cs="Arial"/>
          <w:bCs/>
          <w:i/>
          <w:iCs/>
          <w:color w:val="222222"/>
          <w:sz w:val="20"/>
          <w:szCs w:val="20"/>
          <w:shd w:val="clear" w:color="auto" w:fill="FFFFFF"/>
          <w:lang w:val="en-US"/>
        </w:rPr>
        <w:t>Administrative Sciences, 13</w:t>
      </w:r>
      <w:r w:rsidRPr="00FA463C">
        <w:rPr>
          <w:rFonts w:ascii="Arial" w:hAnsi="Arial" w:cs="Arial"/>
          <w:bCs/>
          <w:iCs/>
          <w:color w:val="222222"/>
          <w:sz w:val="20"/>
          <w:szCs w:val="20"/>
          <w:shd w:val="clear" w:color="auto" w:fill="FFFFFF"/>
          <w:lang w:val="en-US"/>
        </w:rPr>
        <w:t>(12), 248. </w:t>
      </w:r>
      <w:hyperlink r:id="rId53" w:tgtFrame="_blank" w:history="1">
        <w:r w:rsidRPr="00FA463C">
          <w:rPr>
            <w:rStyle w:val="Hipervnculo"/>
            <w:rFonts w:ascii="Arial" w:hAnsi="Arial" w:cs="Arial"/>
            <w:bCs/>
            <w:iCs/>
            <w:sz w:val="20"/>
            <w:szCs w:val="20"/>
            <w:shd w:val="clear" w:color="auto" w:fill="FFFFFF"/>
            <w:lang w:val="en-US"/>
          </w:rPr>
          <w:t>https://doi.org/10.3390/admsci13120248</w:t>
        </w:r>
      </w:hyperlink>
    </w:p>
    <w:bookmarkEnd w:id="1"/>
    <w:p w14:paraId="5AF1E91F"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n-US"/>
        </w:rPr>
      </w:pPr>
      <w:r w:rsidRPr="00FA463C">
        <w:rPr>
          <w:rFonts w:ascii="Arial" w:hAnsi="Arial" w:cs="Arial"/>
          <w:bCs/>
          <w:iCs/>
          <w:color w:val="222222"/>
          <w:sz w:val="20"/>
          <w:szCs w:val="20"/>
          <w:shd w:val="clear" w:color="auto" w:fill="FFFFFF"/>
          <w:lang w:val="en-US"/>
        </w:rPr>
        <w:t>Ulnicane, I., Eke, D., Knight, W., Ogoh, G., &amp; Stahl, B. C. (2021). Good governance as a response to discontents? Déjà vu, or lessons for AI from other emerging technologies. </w:t>
      </w:r>
      <w:r w:rsidRPr="00FA463C">
        <w:rPr>
          <w:rFonts w:ascii="Arial" w:hAnsi="Arial" w:cs="Arial"/>
          <w:bCs/>
          <w:i/>
          <w:iCs/>
          <w:color w:val="222222"/>
          <w:sz w:val="20"/>
          <w:szCs w:val="20"/>
          <w:shd w:val="clear" w:color="auto" w:fill="FFFFFF"/>
          <w:lang w:val="en-US"/>
        </w:rPr>
        <w:t>Interdisciplinary Science Reviews, 46</w:t>
      </w:r>
      <w:r w:rsidRPr="00FA463C">
        <w:rPr>
          <w:rFonts w:ascii="Arial" w:hAnsi="Arial" w:cs="Arial"/>
          <w:bCs/>
          <w:iCs/>
          <w:color w:val="222222"/>
          <w:sz w:val="20"/>
          <w:szCs w:val="20"/>
          <w:shd w:val="clear" w:color="auto" w:fill="FFFFFF"/>
          <w:lang w:val="en-US"/>
        </w:rPr>
        <w:t>(1-2), 71–93. </w:t>
      </w:r>
      <w:hyperlink r:id="rId54" w:tgtFrame="_blank" w:history="1">
        <w:r w:rsidRPr="00FA463C">
          <w:rPr>
            <w:rStyle w:val="Hipervnculo"/>
            <w:rFonts w:ascii="Arial" w:hAnsi="Arial" w:cs="Arial"/>
            <w:bCs/>
            <w:iCs/>
            <w:sz w:val="20"/>
            <w:szCs w:val="20"/>
            <w:shd w:val="clear" w:color="auto" w:fill="FFFFFF"/>
            <w:lang w:val="en-US"/>
          </w:rPr>
          <w:t>https://doi.org/10.1080/03080188.2020.1840220</w:t>
        </w:r>
      </w:hyperlink>
    </w:p>
    <w:p w14:paraId="0D89327E"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n-US"/>
        </w:rPr>
      </w:pPr>
      <w:r w:rsidRPr="00FA463C">
        <w:rPr>
          <w:rFonts w:ascii="Arial" w:hAnsi="Arial" w:cs="Arial"/>
          <w:bCs/>
          <w:iCs/>
          <w:color w:val="222222"/>
          <w:sz w:val="20"/>
          <w:szCs w:val="20"/>
          <w:shd w:val="clear" w:color="auto" w:fill="FFFFFF"/>
          <w:lang w:val="en-US"/>
        </w:rPr>
        <w:t>Verma, S. (2022). Sentiment analysis of public services for smart society: Literature review and future research directions. </w:t>
      </w:r>
      <w:r w:rsidRPr="00FA463C">
        <w:rPr>
          <w:rFonts w:ascii="Arial" w:hAnsi="Arial" w:cs="Arial"/>
          <w:bCs/>
          <w:i/>
          <w:iCs/>
          <w:color w:val="222222"/>
          <w:sz w:val="20"/>
          <w:szCs w:val="20"/>
          <w:shd w:val="clear" w:color="auto" w:fill="FFFFFF"/>
          <w:lang w:val="en-US"/>
        </w:rPr>
        <w:t>Government Information Quarterly, 39</w:t>
      </w:r>
      <w:r w:rsidRPr="00FA463C">
        <w:rPr>
          <w:rFonts w:ascii="Arial" w:hAnsi="Arial" w:cs="Arial"/>
          <w:bCs/>
          <w:iCs/>
          <w:color w:val="222222"/>
          <w:sz w:val="20"/>
          <w:szCs w:val="20"/>
          <w:shd w:val="clear" w:color="auto" w:fill="FFFFFF"/>
          <w:lang w:val="en-US"/>
        </w:rPr>
        <w:t>(3), 101708. </w:t>
      </w:r>
      <w:hyperlink r:id="rId55" w:tgtFrame="_blank" w:history="1">
        <w:r w:rsidRPr="00FA463C">
          <w:rPr>
            <w:rStyle w:val="Hipervnculo"/>
            <w:rFonts w:ascii="Arial" w:hAnsi="Arial" w:cs="Arial"/>
            <w:bCs/>
            <w:iCs/>
            <w:sz w:val="20"/>
            <w:szCs w:val="20"/>
            <w:shd w:val="clear" w:color="auto" w:fill="FFFFFF"/>
            <w:lang w:val="en-US"/>
          </w:rPr>
          <w:t>https://doi.org/10.1016/j.giq.2022.101708</w:t>
        </w:r>
      </w:hyperlink>
    </w:p>
    <w:p w14:paraId="6362C94A" w14:textId="77777777" w:rsidR="00FA463C" w:rsidRPr="00FA463C" w:rsidRDefault="00FA463C" w:rsidP="00FA463C">
      <w:pPr>
        <w:spacing w:after="0" w:line="240" w:lineRule="auto"/>
        <w:ind w:left="709" w:hanging="709"/>
        <w:jc w:val="both"/>
        <w:rPr>
          <w:rFonts w:ascii="Arial" w:hAnsi="Arial" w:cs="Arial"/>
          <w:bCs/>
          <w:iCs/>
          <w:color w:val="222222"/>
          <w:sz w:val="20"/>
          <w:szCs w:val="20"/>
          <w:shd w:val="clear" w:color="auto" w:fill="FFFFFF"/>
          <w:lang w:val="en-US"/>
        </w:rPr>
      </w:pPr>
      <w:r w:rsidRPr="00FA463C">
        <w:rPr>
          <w:rFonts w:ascii="Arial" w:hAnsi="Arial" w:cs="Arial"/>
          <w:bCs/>
          <w:iCs/>
          <w:color w:val="222222"/>
          <w:sz w:val="20"/>
          <w:szCs w:val="20"/>
          <w:shd w:val="clear" w:color="auto" w:fill="FFFFFF"/>
          <w:lang w:val="en-US"/>
        </w:rPr>
        <w:t>Zuiderwijk, A., Chen, Y. C., &amp; Salem, F. (2021). Implications of the use of artificial intelligence in public governance: A systematic literature review and a research agenda. </w:t>
      </w:r>
      <w:r w:rsidRPr="00FA463C">
        <w:rPr>
          <w:rFonts w:ascii="Arial" w:hAnsi="Arial" w:cs="Arial"/>
          <w:bCs/>
          <w:i/>
          <w:iCs/>
          <w:color w:val="222222"/>
          <w:sz w:val="20"/>
          <w:szCs w:val="20"/>
          <w:shd w:val="clear" w:color="auto" w:fill="FFFFFF"/>
          <w:lang w:val="en-US"/>
        </w:rPr>
        <w:t>Government Information Quarterly, 38</w:t>
      </w:r>
      <w:r w:rsidRPr="00FA463C">
        <w:rPr>
          <w:rFonts w:ascii="Arial" w:hAnsi="Arial" w:cs="Arial"/>
          <w:bCs/>
          <w:iCs/>
          <w:color w:val="222222"/>
          <w:sz w:val="20"/>
          <w:szCs w:val="20"/>
          <w:shd w:val="clear" w:color="auto" w:fill="FFFFFF"/>
          <w:lang w:val="en-US"/>
        </w:rPr>
        <w:t>(3), 101577. </w:t>
      </w:r>
      <w:hyperlink r:id="rId56" w:tgtFrame="_blank" w:history="1">
        <w:r w:rsidRPr="00FA463C">
          <w:rPr>
            <w:rStyle w:val="Hipervnculo"/>
            <w:rFonts w:ascii="Arial" w:hAnsi="Arial" w:cs="Arial"/>
            <w:bCs/>
            <w:iCs/>
            <w:sz w:val="20"/>
            <w:szCs w:val="20"/>
            <w:shd w:val="clear" w:color="auto" w:fill="FFFFFF"/>
            <w:lang w:val="en-US"/>
          </w:rPr>
          <w:t>https://doi.org/10.1016/j.giq.2021.101577</w:t>
        </w:r>
      </w:hyperlink>
    </w:p>
    <w:p w14:paraId="4041D6A5" w14:textId="77777777" w:rsidR="00CB1747" w:rsidRPr="003E5AF8" w:rsidRDefault="00CB1747" w:rsidP="00CB1747">
      <w:pPr>
        <w:spacing w:after="0" w:line="240" w:lineRule="auto"/>
        <w:ind w:left="709" w:hanging="709"/>
        <w:jc w:val="both"/>
        <w:rPr>
          <w:rFonts w:ascii="Arial" w:hAnsi="Arial" w:cs="Arial"/>
          <w:b/>
          <w:bCs/>
          <w:iCs/>
          <w:color w:val="222222"/>
          <w:sz w:val="20"/>
          <w:szCs w:val="20"/>
          <w:shd w:val="clear" w:color="auto" w:fill="FFFFFF"/>
          <w:lang w:val="es-MX"/>
        </w:rPr>
      </w:pPr>
    </w:p>
    <w:p w14:paraId="5F1E543B" w14:textId="77777777" w:rsidR="00217E25" w:rsidRPr="003E5AF8" w:rsidRDefault="00217E25" w:rsidP="00CB1747">
      <w:pPr>
        <w:spacing w:after="0" w:line="240" w:lineRule="auto"/>
        <w:jc w:val="both"/>
        <w:rPr>
          <w:rFonts w:ascii="Arial" w:hAnsi="Arial" w:cs="Arial"/>
          <w:b/>
          <w:bCs/>
          <w:iCs/>
          <w:color w:val="222222"/>
          <w:sz w:val="20"/>
          <w:szCs w:val="20"/>
          <w:shd w:val="clear" w:color="auto" w:fill="FFFFFF"/>
          <w:lang w:val="es-MX"/>
        </w:rPr>
      </w:pPr>
    </w:p>
    <w:p w14:paraId="1EBB496B" w14:textId="77777777" w:rsidR="00FA463C" w:rsidRPr="00FA463C" w:rsidRDefault="00FA463C" w:rsidP="00FA463C">
      <w:pPr>
        <w:spacing w:after="0" w:line="240" w:lineRule="auto"/>
        <w:jc w:val="both"/>
        <w:rPr>
          <w:rFonts w:ascii="Arial" w:hAnsi="Arial" w:cs="Arial"/>
          <w:b/>
          <w:bCs/>
          <w:iCs/>
          <w:sz w:val="20"/>
          <w:szCs w:val="20"/>
          <w:shd w:val="clear" w:color="auto" w:fill="FFFFFF"/>
          <w:lang w:val="es"/>
        </w:rPr>
      </w:pPr>
      <w:r w:rsidRPr="00FA463C">
        <w:rPr>
          <w:rFonts w:ascii="Arial" w:hAnsi="Arial" w:cs="Arial"/>
          <w:b/>
          <w:bCs/>
          <w:iCs/>
          <w:sz w:val="20"/>
          <w:szCs w:val="20"/>
          <w:shd w:val="clear" w:color="auto" w:fill="FFFFFF"/>
          <w:lang w:val="es"/>
        </w:rPr>
        <w:t>CONTRIBUCIÓN DE LA AUTORÍA:</w:t>
      </w:r>
    </w:p>
    <w:p w14:paraId="11FC4B77" w14:textId="77777777" w:rsidR="00FA463C" w:rsidRPr="00FA463C" w:rsidRDefault="00FA463C" w:rsidP="00FA463C">
      <w:pPr>
        <w:spacing w:after="0" w:line="240" w:lineRule="auto"/>
        <w:jc w:val="both"/>
        <w:rPr>
          <w:rFonts w:ascii="Arial" w:hAnsi="Arial" w:cs="Arial"/>
          <w:bCs/>
          <w:iCs/>
          <w:sz w:val="20"/>
          <w:szCs w:val="20"/>
          <w:shd w:val="clear" w:color="auto" w:fill="FFFFFF"/>
          <w:lang w:val="es"/>
        </w:rPr>
      </w:pPr>
      <w:r w:rsidRPr="00FA463C">
        <w:rPr>
          <w:rFonts w:ascii="Arial" w:hAnsi="Arial" w:cs="Arial"/>
          <w:bCs/>
          <w:iCs/>
          <w:sz w:val="20"/>
          <w:szCs w:val="20"/>
          <w:shd w:val="clear" w:color="auto" w:fill="FFFFFF"/>
          <w:lang w:val="es"/>
        </w:rPr>
        <w:t>1. Conceptualización: Glizet Teresa Dominguez Montalvo, Armando Tarco Sánchez</w:t>
      </w:r>
    </w:p>
    <w:p w14:paraId="16E7D38C" w14:textId="77777777" w:rsidR="00FA463C" w:rsidRPr="00FA463C" w:rsidRDefault="00FA463C" w:rsidP="00FA463C">
      <w:pPr>
        <w:spacing w:after="0" w:line="240" w:lineRule="auto"/>
        <w:jc w:val="both"/>
        <w:rPr>
          <w:rFonts w:ascii="Arial" w:hAnsi="Arial" w:cs="Arial"/>
          <w:bCs/>
          <w:iCs/>
          <w:sz w:val="20"/>
          <w:szCs w:val="20"/>
          <w:shd w:val="clear" w:color="auto" w:fill="FFFFFF"/>
          <w:lang w:val="es"/>
        </w:rPr>
      </w:pPr>
      <w:r w:rsidRPr="00FA463C">
        <w:rPr>
          <w:rFonts w:ascii="Arial" w:hAnsi="Arial" w:cs="Arial"/>
          <w:bCs/>
          <w:iCs/>
          <w:sz w:val="20"/>
          <w:szCs w:val="20"/>
          <w:shd w:val="clear" w:color="auto" w:fill="FFFFFF"/>
          <w:lang w:val="es"/>
        </w:rPr>
        <w:t>2. Curación de datos: Merida Marlleny Alatrista Gironzini, Jorge Luis Palomino Vargas</w:t>
      </w:r>
    </w:p>
    <w:p w14:paraId="56AB67FE" w14:textId="77777777" w:rsidR="00FA463C" w:rsidRPr="00FA463C" w:rsidRDefault="00FA463C" w:rsidP="00FA463C">
      <w:pPr>
        <w:spacing w:after="0" w:line="240" w:lineRule="auto"/>
        <w:jc w:val="both"/>
        <w:rPr>
          <w:rFonts w:ascii="Arial" w:hAnsi="Arial" w:cs="Arial"/>
          <w:bCs/>
          <w:iCs/>
          <w:sz w:val="20"/>
          <w:szCs w:val="20"/>
          <w:shd w:val="clear" w:color="auto" w:fill="FFFFFF"/>
          <w:lang w:val="es"/>
        </w:rPr>
      </w:pPr>
      <w:r w:rsidRPr="00FA463C">
        <w:rPr>
          <w:rFonts w:ascii="Arial" w:hAnsi="Arial" w:cs="Arial"/>
          <w:bCs/>
          <w:iCs/>
          <w:sz w:val="20"/>
          <w:szCs w:val="20"/>
          <w:shd w:val="clear" w:color="auto" w:fill="FFFFFF"/>
          <w:lang w:val="es"/>
        </w:rPr>
        <w:t>3. Análisis formal: Carmen Elvira Zavalaga Bustos, Armando Tarco Sánchez</w:t>
      </w:r>
    </w:p>
    <w:p w14:paraId="08C155B7" w14:textId="77777777" w:rsidR="00FA463C" w:rsidRPr="00FA463C" w:rsidRDefault="00FA463C" w:rsidP="00FA463C">
      <w:pPr>
        <w:spacing w:after="0" w:line="240" w:lineRule="auto"/>
        <w:jc w:val="both"/>
        <w:rPr>
          <w:rFonts w:ascii="Arial" w:hAnsi="Arial" w:cs="Arial"/>
          <w:bCs/>
          <w:iCs/>
          <w:sz w:val="20"/>
          <w:szCs w:val="20"/>
          <w:shd w:val="clear" w:color="auto" w:fill="FFFFFF"/>
          <w:lang w:val="es"/>
        </w:rPr>
      </w:pPr>
      <w:r w:rsidRPr="00FA463C">
        <w:rPr>
          <w:rFonts w:ascii="Arial" w:hAnsi="Arial" w:cs="Arial"/>
          <w:bCs/>
          <w:iCs/>
          <w:sz w:val="20"/>
          <w:szCs w:val="20"/>
          <w:shd w:val="clear" w:color="auto" w:fill="FFFFFF"/>
          <w:lang w:val="es"/>
        </w:rPr>
        <w:t>4. Adquisición de fondos: Merida Marlleny Alatrista Gironzini, Glizet Teresa Dominguez Montalvo</w:t>
      </w:r>
    </w:p>
    <w:p w14:paraId="7C020A2B" w14:textId="77777777" w:rsidR="00FA463C" w:rsidRPr="00FA463C" w:rsidRDefault="00FA463C" w:rsidP="00FA463C">
      <w:pPr>
        <w:spacing w:after="0" w:line="240" w:lineRule="auto"/>
        <w:jc w:val="both"/>
        <w:rPr>
          <w:rFonts w:ascii="Arial" w:hAnsi="Arial" w:cs="Arial"/>
          <w:bCs/>
          <w:iCs/>
          <w:sz w:val="20"/>
          <w:szCs w:val="20"/>
          <w:shd w:val="clear" w:color="auto" w:fill="FFFFFF"/>
          <w:lang w:val="es"/>
        </w:rPr>
      </w:pPr>
      <w:r w:rsidRPr="00FA463C">
        <w:rPr>
          <w:rFonts w:ascii="Arial" w:hAnsi="Arial" w:cs="Arial"/>
          <w:bCs/>
          <w:iCs/>
          <w:sz w:val="20"/>
          <w:szCs w:val="20"/>
          <w:shd w:val="clear" w:color="auto" w:fill="FFFFFF"/>
          <w:lang w:val="es"/>
        </w:rPr>
        <w:t>5. Investigación: Carmen Elvira Zavalaga Bustos, Armando Tarco Sánchez, Glizet Teresa Dominguez Montalvo</w:t>
      </w:r>
    </w:p>
    <w:p w14:paraId="754D18C4" w14:textId="77777777" w:rsidR="00FA463C" w:rsidRPr="00FA463C" w:rsidRDefault="00FA463C" w:rsidP="00FA463C">
      <w:pPr>
        <w:spacing w:after="0" w:line="240" w:lineRule="auto"/>
        <w:jc w:val="both"/>
        <w:rPr>
          <w:rFonts w:ascii="Arial" w:hAnsi="Arial" w:cs="Arial"/>
          <w:bCs/>
          <w:iCs/>
          <w:sz w:val="20"/>
          <w:szCs w:val="20"/>
          <w:shd w:val="clear" w:color="auto" w:fill="FFFFFF"/>
          <w:lang w:val="es"/>
        </w:rPr>
      </w:pPr>
      <w:r w:rsidRPr="00FA463C">
        <w:rPr>
          <w:rFonts w:ascii="Arial" w:hAnsi="Arial" w:cs="Arial"/>
          <w:bCs/>
          <w:iCs/>
          <w:sz w:val="20"/>
          <w:szCs w:val="20"/>
          <w:shd w:val="clear" w:color="auto" w:fill="FFFFFF"/>
          <w:lang w:val="es"/>
        </w:rPr>
        <w:t>6. Metodología: Armando Tarco Sánchez, Jorge Luis Palomino Vargas, Merida Marlleny Alatrista Gironzini</w:t>
      </w:r>
    </w:p>
    <w:p w14:paraId="29BC0EDE" w14:textId="77777777" w:rsidR="00FA463C" w:rsidRPr="00FA463C" w:rsidRDefault="00FA463C" w:rsidP="00FA463C">
      <w:pPr>
        <w:spacing w:after="0" w:line="240" w:lineRule="auto"/>
        <w:jc w:val="both"/>
        <w:rPr>
          <w:rFonts w:ascii="Arial" w:hAnsi="Arial" w:cs="Arial"/>
          <w:bCs/>
          <w:iCs/>
          <w:sz w:val="20"/>
          <w:szCs w:val="20"/>
          <w:shd w:val="clear" w:color="auto" w:fill="FFFFFF"/>
          <w:lang w:val="es"/>
        </w:rPr>
      </w:pPr>
      <w:r w:rsidRPr="00FA463C">
        <w:rPr>
          <w:rFonts w:ascii="Arial" w:hAnsi="Arial" w:cs="Arial"/>
          <w:bCs/>
          <w:iCs/>
          <w:sz w:val="20"/>
          <w:szCs w:val="20"/>
          <w:shd w:val="clear" w:color="auto" w:fill="FFFFFF"/>
          <w:lang w:val="es"/>
        </w:rPr>
        <w:t>7. Dirección del proyecto: Glizet Teresa Dominguez Montalvo, Armando Tarco Sánchez</w:t>
      </w:r>
    </w:p>
    <w:p w14:paraId="2E931146" w14:textId="77777777" w:rsidR="00FA463C" w:rsidRPr="00FA463C" w:rsidRDefault="00FA463C" w:rsidP="00FA463C">
      <w:pPr>
        <w:spacing w:after="0" w:line="240" w:lineRule="auto"/>
        <w:jc w:val="both"/>
        <w:rPr>
          <w:rFonts w:ascii="Arial" w:hAnsi="Arial" w:cs="Arial"/>
          <w:bCs/>
          <w:iCs/>
          <w:sz w:val="20"/>
          <w:szCs w:val="20"/>
          <w:shd w:val="clear" w:color="auto" w:fill="FFFFFF"/>
          <w:lang w:val="es"/>
        </w:rPr>
      </w:pPr>
      <w:r w:rsidRPr="00FA463C">
        <w:rPr>
          <w:rFonts w:ascii="Arial" w:hAnsi="Arial" w:cs="Arial"/>
          <w:bCs/>
          <w:iCs/>
          <w:sz w:val="20"/>
          <w:szCs w:val="20"/>
          <w:shd w:val="clear" w:color="auto" w:fill="FFFFFF"/>
          <w:lang w:val="es"/>
        </w:rPr>
        <w:t>8. Recursos: Merida Marlleny Alatrista Gironzini, Jorge Luis Palomino Vargas</w:t>
      </w:r>
    </w:p>
    <w:p w14:paraId="5B0A6DDD" w14:textId="77777777" w:rsidR="00FA463C" w:rsidRPr="00FA463C" w:rsidRDefault="00FA463C" w:rsidP="00FA463C">
      <w:pPr>
        <w:spacing w:after="0" w:line="240" w:lineRule="auto"/>
        <w:jc w:val="both"/>
        <w:rPr>
          <w:rFonts w:ascii="Arial" w:hAnsi="Arial" w:cs="Arial"/>
          <w:bCs/>
          <w:iCs/>
          <w:sz w:val="20"/>
          <w:szCs w:val="20"/>
          <w:shd w:val="clear" w:color="auto" w:fill="FFFFFF"/>
          <w:lang w:val="es"/>
        </w:rPr>
      </w:pPr>
      <w:r w:rsidRPr="00FA463C">
        <w:rPr>
          <w:rFonts w:ascii="Arial" w:hAnsi="Arial" w:cs="Arial"/>
          <w:bCs/>
          <w:iCs/>
          <w:sz w:val="20"/>
          <w:szCs w:val="20"/>
          <w:shd w:val="clear" w:color="auto" w:fill="FFFFFF"/>
          <w:lang w:val="es"/>
        </w:rPr>
        <w:t>9. Software: Jorge Luis Palomino Vargas, Carmen Elvira Zavalaga Bustos</w:t>
      </w:r>
    </w:p>
    <w:p w14:paraId="3A25A368" w14:textId="77777777" w:rsidR="00FA463C" w:rsidRPr="00FA463C" w:rsidRDefault="00FA463C" w:rsidP="00FA463C">
      <w:pPr>
        <w:spacing w:after="0" w:line="240" w:lineRule="auto"/>
        <w:jc w:val="both"/>
        <w:rPr>
          <w:rFonts w:ascii="Arial" w:hAnsi="Arial" w:cs="Arial"/>
          <w:bCs/>
          <w:iCs/>
          <w:sz w:val="20"/>
          <w:szCs w:val="20"/>
          <w:shd w:val="clear" w:color="auto" w:fill="FFFFFF"/>
          <w:lang w:val="es"/>
        </w:rPr>
      </w:pPr>
      <w:r w:rsidRPr="00FA463C">
        <w:rPr>
          <w:rFonts w:ascii="Arial" w:hAnsi="Arial" w:cs="Arial"/>
          <w:bCs/>
          <w:iCs/>
          <w:sz w:val="20"/>
          <w:szCs w:val="20"/>
          <w:shd w:val="clear" w:color="auto" w:fill="FFFFFF"/>
          <w:lang w:val="es"/>
        </w:rPr>
        <w:t>10. Supervisión: Glizet Teresa Dominguez Montalvo, Armando Tarco Sánchez</w:t>
      </w:r>
    </w:p>
    <w:p w14:paraId="50FAAABE" w14:textId="77777777" w:rsidR="00FA463C" w:rsidRPr="00FA463C" w:rsidRDefault="00FA463C" w:rsidP="00FA463C">
      <w:pPr>
        <w:spacing w:after="0" w:line="240" w:lineRule="auto"/>
        <w:jc w:val="both"/>
        <w:rPr>
          <w:rFonts w:ascii="Arial" w:hAnsi="Arial" w:cs="Arial"/>
          <w:bCs/>
          <w:iCs/>
          <w:sz w:val="20"/>
          <w:szCs w:val="20"/>
          <w:shd w:val="clear" w:color="auto" w:fill="FFFFFF"/>
          <w:lang w:val="es"/>
        </w:rPr>
      </w:pPr>
      <w:r w:rsidRPr="00FA463C">
        <w:rPr>
          <w:rFonts w:ascii="Arial" w:hAnsi="Arial" w:cs="Arial"/>
          <w:bCs/>
          <w:iCs/>
          <w:sz w:val="20"/>
          <w:szCs w:val="20"/>
          <w:shd w:val="clear" w:color="auto" w:fill="FFFFFF"/>
          <w:lang w:val="es"/>
        </w:rPr>
        <w:t>11. Validación: Jorge Luis Palomino Vargas, Carmen Elvira Zavalaga Bustos</w:t>
      </w:r>
    </w:p>
    <w:p w14:paraId="3B750C52" w14:textId="77777777" w:rsidR="00FA463C" w:rsidRPr="00FA463C" w:rsidRDefault="00FA463C" w:rsidP="00FA463C">
      <w:pPr>
        <w:spacing w:after="0" w:line="240" w:lineRule="auto"/>
        <w:jc w:val="both"/>
        <w:rPr>
          <w:rFonts w:ascii="Arial" w:hAnsi="Arial" w:cs="Arial"/>
          <w:bCs/>
          <w:iCs/>
          <w:sz w:val="20"/>
          <w:szCs w:val="20"/>
          <w:shd w:val="clear" w:color="auto" w:fill="FFFFFF"/>
          <w:lang w:val="es"/>
        </w:rPr>
      </w:pPr>
      <w:r w:rsidRPr="00FA463C">
        <w:rPr>
          <w:rFonts w:ascii="Arial" w:hAnsi="Arial" w:cs="Arial"/>
          <w:bCs/>
          <w:iCs/>
          <w:sz w:val="20"/>
          <w:szCs w:val="20"/>
          <w:shd w:val="clear" w:color="auto" w:fill="FFFFFF"/>
          <w:lang w:val="es"/>
        </w:rPr>
        <w:t>12. Visualización: Armando Tarco Sánchez</w:t>
      </w:r>
    </w:p>
    <w:p w14:paraId="146682B4" w14:textId="77777777" w:rsidR="00FA463C" w:rsidRPr="00FA463C" w:rsidRDefault="00FA463C" w:rsidP="00FA463C">
      <w:pPr>
        <w:spacing w:after="0" w:line="240" w:lineRule="auto"/>
        <w:jc w:val="both"/>
        <w:rPr>
          <w:rFonts w:ascii="Arial" w:hAnsi="Arial" w:cs="Arial"/>
          <w:bCs/>
          <w:iCs/>
          <w:sz w:val="20"/>
          <w:szCs w:val="20"/>
          <w:shd w:val="clear" w:color="auto" w:fill="FFFFFF"/>
          <w:lang w:val="es"/>
        </w:rPr>
      </w:pPr>
      <w:r w:rsidRPr="00FA463C">
        <w:rPr>
          <w:rFonts w:ascii="Arial" w:hAnsi="Arial" w:cs="Arial"/>
          <w:bCs/>
          <w:iCs/>
          <w:sz w:val="20"/>
          <w:szCs w:val="20"/>
          <w:shd w:val="clear" w:color="auto" w:fill="FFFFFF"/>
          <w:lang w:val="es"/>
        </w:rPr>
        <w:t>13. Redacción - borrador original: Armando Tarco Sánchez, Merida Marlleny Alatrista Gironzini, Glizet Teresa Dominguez Montalvo</w:t>
      </w:r>
    </w:p>
    <w:p w14:paraId="3BB0EFDC" w14:textId="77777777" w:rsidR="00FA463C" w:rsidRPr="00FA463C" w:rsidRDefault="00FA463C" w:rsidP="00FA463C">
      <w:pPr>
        <w:spacing w:after="0" w:line="240" w:lineRule="auto"/>
        <w:jc w:val="both"/>
        <w:rPr>
          <w:rFonts w:ascii="Arial" w:hAnsi="Arial" w:cs="Arial"/>
          <w:bCs/>
          <w:iCs/>
          <w:sz w:val="20"/>
          <w:szCs w:val="20"/>
          <w:shd w:val="clear" w:color="auto" w:fill="FFFFFF"/>
          <w:lang w:val="es"/>
        </w:rPr>
      </w:pPr>
      <w:r w:rsidRPr="00FA463C">
        <w:rPr>
          <w:rFonts w:ascii="Arial" w:hAnsi="Arial" w:cs="Arial"/>
          <w:bCs/>
          <w:iCs/>
          <w:sz w:val="20"/>
          <w:szCs w:val="20"/>
          <w:shd w:val="clear" w:color="auto" w:fill="FFFFFF"/>
          <w:lang w:val="es"/>
        </w:rPr>
        <w:t>14. Redacción - corrección de pruebas y edición: Glizet Teresa Dominguez Montalvo, Jorge Luis Palomino Vargas</w:t>
      </w:r>
    </w:p>
    <w:p w14:paraId="1888EB70" w14:textId="0EA7D720" w:rsidR="002A64DE" w:rsidRPr="00374545" w:rsidRDefault="002A64DE" w:rsidP="00782A2E">
      <w:pPr>
        <w:spacing w:after="0" w:line="240" w:lineRule="auto"/>
        <w:ind w:left="709" w:hanging="709"/>
        <w:jc w:val="both"/>
        <w:rPr>
          <w:rFonts w:ascii="Arial" w:hAnsi="Arial" w:cs="Arial"/>
          <w:bCs/>
          <w:iCs/>
          <w:color w:val="222222"/>
          <w:sz w:val="20"/>
          <w:szCs w:val="20"/>
          <w:shd w:val="clear" w:color="auto" w:fill="FFFFFF"/>
          <w:lang w:val="es"/>
        </w:rPr>
      </w:pPr>
    </w:p>
    <w:sectPr w:rsidR="002A64DE" w:rsidRPr="00374545" w:rsidSect="004635FC">
      <w:footerReference w:type="default" r:id="rId57"/>
      <w:headerReference w:type="first" r:id="rId58"/>
      <w:footerReference w:type="first" r:id="rId59"/>
      <w:pgSz w:w="12240" w:h="15840"/>
      <w:pgMar w:top="1418" w:right="1134" w:bottom="1418" w:left="1134"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5ED8581" w14:textId="77777777" w:rsidR="008E43F5" w:rsidRDefault="008E43F5" w:rsidP="00683E7D">
      <w:pPr>
        <w:spacing w:after="0" w:line="240" w:lineRule="auto"/>
      </w:pPr>
      <w:r>
        <w:separator/>
      </w:r>
    </w:p>
  </w:endnote>
  <w:endnote w:type="continuationSeparator" w:id="0">
    <w:p w14:paraId="6FB8F051" w14:textId="77777777" w:rsidR="008E43F5" w:rsidRDefault="008E43F5" w:rsidP="00683E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embedRegular r:id="rId1" w:fontKey="{FE254799-CF20-4305-8F8B-D6F554B5283C}"/>
    <w:embedBold r:id="rId2" w:fontKey="{AFE554D8-E7C1-4E08-AC94-ED1FC0728517}"/>
    <w:embedItalic r:id="rId3" w:fontKey="{A93E9042-C7EE-45CA-B8FA-24938B065D9B}"/>
  </w:font>
  <w:font w:name="Arial">
    <w:panose1 w:val="020B0604020202020204"/>
    <w:charset w:val="00"/>
    <w:family w:val="swiss"/>
    <w:pitch w:val="variable"/>
    <w:sig w:usb0="E0002EFF" w:usb1="C000785B" w:usb2="00000009" w:usb3="00000000" w:csb0="000001FF" w:csb1="00000000"/>
  </w:font>
  <w:font w:name="Poppins Black">
    <w:panose1 w:val="00000A00000000000000"/>
    <w:charset w:val="00"/>
    <w:family w:val="auto"/>
    <w:pitch w:val="variable"/>
    <w:sig w:usb0="00008007" w:usb1="00000000" w:usb2="00000000" w:usb3="00000000" w:csb0="00000093" w:csb1="00000000"/>
  </w:font>
  <w:font w:name="Prompt">
    <w:panose1 w:val="00000500000000000000"/>
    <w:charset w:val="00"/>
    <w:family w:val="auto"/>
    <w:pitch w:val="variable"/>
    <w:sig w:usb0="21000007" w:usb1="00000001" w:usb2="00000000" w:usb3="00000000" w:csb0="00010193"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39F212" w14:textId="77777777" w:rsidR="00C42E70" w:rsidRDefault="00C42E70" w:rsidP="007A4FFB">
    <w:pPr>
      <w:spacing w:after="0" w:line="240" w:lineRule="auto"/>
      <w:jc w:val="both"/>
      <w:rPr>
        <w:rFonts w:asciiTheme="minorHAnsi" w:hAnsiTheme="minorHAnsi" w:cs="Arial"/>
        <w:color w:val="1F4E79" w:themeColor="accent5" w:themeShade="80"/>
        <w:sz w:val="18"/>
        <w:szCs w:val="16"/>
      </w:rPr>
    </w:pPr>
  </w:p>
  <w:p w14:paraId="00650025" w14:textId="28FA0260" w:rsidR="00C42E70" w:rsidRDefault="00C42E70" w:rsidP="007A4FFB">
    <w:pPr>
      <w:spacing w:after="0" w:line="240" w:lineRule="auto"/>
      <w:jc w:val="both"/>
      <w:rPr>
        <w:rFonts w:asciiTheme="minorHAnsi" w:hAnsiTheme="minorHAnsi" w:cs="Arial"/>
        <w:color w:val="1F4E79" w:themeColor="accent5" w:themeShade="80"/>
        <w:sz w:val="18"/>
        <w:szCs w:val="16"/>
      </w:rPr>
    </w:pPr>
    <w:r w:rsidRPr="00CC42ED">
      <w:rPr>
        <w:noProof/>
        <w:lang w:val="en-US"/>
      </w:rPr>
      <w:drawing>
        <wp:anchor distT="0" distB="0" distL="114300" distR="114300" simplePos="0" relativeHeight="251673600" behindDoc="1" locked="0" layoutInCell="1" allowOverlap="1" wp14:anchorId="6C597ED0" wp14:editId="5D7EE38C">
          <wp:simplePos x="0" y="0"/>
          <wp:positionH relativeFrom="margin">
            <wp:posOffset>-720090</wp:posOffset>
          </wp:positionH>
          <wp:positionV relativeFrom="paragraph">
            <wp:posOffset>-106045</wp:posOffset>
          </wp:positionV>
          <wp:extent cx="7772400" cy="914354"/>
          <wp:effectExtent l="0" t="0" r="0" b="635"/>
          <wp:wrapNone/>
          <wp:docPr id="10" name="Imagen 10" descr="C:\Users\Dell\Desktop\Plantilla Revista INVECOM-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ell\Desktop\Plantilla Revista INVECOM-01.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t="90908"/>
                  <a:stretch/>
                </pic:blipFill>
                <pic:spPr bwMode="auto">
                  <a:xfrm>
                    <a:off x="0" y="0"/>
                    <a:ext cx="7772400" cy="91435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DC33D58" w14:textId="29AE43EE" w:rsidR="00C42E70" w:rsidRPr="004E5389" w:rsidRDefault="00C42E70" w:rsidP="00683E7D">
    <w:pPr>
      <w:pStyle w:val="Piedepgina"/>
      <w:jc w:val="right"/>
      <w:rPr>
        <w:rFonts w:ascii="Century Gothic" w:hAnsi="Century Gothic" w:cs="Poppins Black"/>
        <w:b/>
        <w:color w:val="1F4E79" w:themeColor="accent5" w:themeShade="80"/>
        <w:sz w:val="40"/>
        <w:szCs w:val="40"/>
      </w:rPr>
    </w:pPr>
    <w:r w:rsidRPr="00CC42ED">
      <w:rPr>
        <w:noProof/>
        <w:lang w:val="en-US"/>
      </w:rPr>
      <w:drawing>
        <wp:anchor distT="0" distB="0" distL="114300" distR="114300" simplePos="0" relativeHeight="251671552" behindDoc="1" locked="0" layoutInCell="1" allowOverlap="1" wp14:anchorId="061531C4" wp14:editId="7622D111">
          <wp:simplePos x="0" y="0"/>
          <wp:positionH relativeFrom="margin">
            <wp:posOffset>-180340</wp:posOffset>
          </wp:positionH>
          <wp:positionV relativeFrom="paragraph">
            <wp:posOffset>2285365</wp:posOffset>
          </wp:positionV>
          <wp:extent cx="7772400" cy="914354"/>
          <wp:effectExtent l="0" t="0" r="0" b="635"/>
          <wp:wrapNone/>
          <wp:docPr id="8" name="Imagen 8" descr="C:\Users\Dell\Desktop\Plantilla Revista INVECOM-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ell\Desktop\Plantilla Revista INVECOM-01.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t="90908"/>
                  <a:stretch/>
                </pic:blipFill>
                <pic:spPr bwMode="auto">
                  <a:xfrm>
                    <a:off x="0" y="0"/>
                    <a:ext cx="7772400" cy="91435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E5389">
      <w:rPr>
        <w:rFonts w:ascii="Century Gothic" w:hAnsi="Century Gothic" w:cs="Prompt"/>
        <w:b/>
        <w:color w:val="1F4E79" w:themeColor="accent5" w:themeShade="80"/>
        <w:sz w:val="28"/>
        <w:szCs w:val="28"/>
      </w:rPr>
      <w:fldChar w:fldCharType="begin"/>
    </w:r>
    <w:r w:rsidRPr="004E5389">
      <w:rPr>
        <w:rFonts w:ascii="Century Gothic" w:hAnsi="Century Gothic" w:cs="Prompt"/>
        <w:b/>
        <w:color w:val="1F4E79" w:themeColor="accent5" w:themeShade="80"/>
        <w:sz w:val="28"/>
        <w:szCs w:val="28"/>
      </w:rPr>
      <w:instrText>PAGE   \* MERGEFORMAT</w:instrText>
    </w:r>
    <w:r w:rsidRPr="004E5389">
      <w:rPr>
        <w:rFonts w:ascii="Century Gothic" w:hAnsi="Century Gothic" w:cs="Prompt"/>
        <w:b/>
        <w:color w:val="1F4E79" w:themeColor="accent5" w:themeShade="80"/>
        <w:sz w:val="28"/>
        <w:szCs w:val="28"/>
      </w:rPr>
      <w:fldChar w:fldCharType="separate"/>
    </w:r>
    <w:r w:rsidR="00A02774" w:rsidRPr="00A02774">
      <w:rPr>
        <w:rFonts w:ascii="Century Gothic" w:hAnsi="Century Gothic" w:cs="Prompt"/>
        <w:b/>
        <w:noProof/>
        <w:color w:val="1F4E79" w:themeColor="accent5" w:themeShade="80"/>
        <w:sz w:val="28"/>
        <w:szCs w:val="28"/>
        <w:lang w:val="es-ES"/>
      </w:rPr>
      <w:t>12</w:t>
    </w:r>
    <w:r w:rsidRPr="004E5389">
      <w:rPr>
        <w:rFonts w:ascii="Century Gothic" w:hAnsi="Century Gothic" w:cs="Prompt"/>
        <w:b/>
        <w:color w:val="1F4E79" w:themeColor="accent5" w:themeShade="80"/>
        <w:sz w:val="28"/>
        <w:szCs w:val="28"/>
      </w:rP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60CDE5" w14:textId="77777777" w:rsidR="00C42E70" w:rsidRDefault="00C42E70" w:rsidP="003F1E41">
    <w:pPr>
      <w:pStyle w:val="Piedepgina"/>
    </w:pPr>
  </w:p>
  <w:p w14:paraId="5EC786CF" w14:textId="77777777" w:rsidR="00C42E70" w:rsidRDefault="00C42E70" w:rsidP="00EB4554">
    <w:pPr>
      <w:pStyle w:val="Piedepgina"/>
      <w:jc w:val="center"/>
    </w:pPr>
  </w:p>
  <w:p w14:paraId="278B8B04" w14:textId="428475D9" w:rsidR="00C42E70" w:rsidRDefault="00C42E70" w:rsidP="00914A27">
    <w:pPr>
      <w:pStyle w:val="Piedepgina"/>
      <w:jc w:val="center"/>
    </w:pPr>
    <w:r w:rsidRPr="00CC42ED">
      <w:rPr>
        <w:noProof/>
        <w:lang w:val="en-US"/>
      </w:rPr>
      <w:drawing>
        <wp:anchor distT="0" distB="0" distL="114300" distR="114300" simplePos="0" relativeHeight="251675648" behindDoc="1" locked="0" layoutInCell="1" allowOverlap="1" wp14:anchorId="6EA9EF1B" wp14:editId="078726AB">
          <wp:simplePos x="0" y="0"/>
          <wp:positionH relativeFrom="margin">
            <wp:posOffset>-720090</wp:posOffset>
          </wp:positionH>
          <wp:positionV relativeFrom="paragraph">
            <wp:posOffset>-292735</wp:posOffset>
          </wp:positionV>
          <wp:extent cx="7772400" cy="914354"/>
          <wp:effectExtent l="0" t="0" r="0" b="635"/>
          <wp:wrapNone/>
          <wp:docPr id="14" name="Imagen 14" descr="C:\Users\Dell\Desktop\Plantilla Revista INVECOM-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ell\Desktop\Plantilla Revista INVECOM-01.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t="90908"/>
                  <a:stretch/>
                </pic:blipFill>
                <pic:spPr bwMode="auto">
                  <a:xfrm>
                    <a:off x="0" y="0"/>
                    <a:ext cx="7772400" cy="91435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FE47711" w14:textId="77777777" w:rsidR="008E43F5" w:rsidRDefault="008E43F5" w:rsidP="00683E7D">
      <w:pPr>
        <w:spacing w:after="0" w:line="240" w:lineRule="auto"/>
      </w:pPr>
      <w:r>
        <w:separator/>
      </w:r>
    </w:p>
  </w:footnote>
  <w:footnote w:type="continuationSeparator" w:id="0">
    <w:p w14:paraId="6684B974" w14:textId="77777777" w:rsidR="008E43F5" w:rsidRDefault="008E43F5" w:rsidP="00683E7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CCB1F8" w14:textId="1BD4688A" w:rsidR="00C42E70" w:rsidRDefault="00C42E70">
    <w:pPr>
      <w:pStyle w:val="Encabezado"/>
    </w:pPr>
    <w:r w:rsidRPr="007A4FFB">
      <w:rPr>
        <w:noProof/>
        <w:lang w:val="en-US"/>
      </w:rPr>
      <w:drawing>
        <wp:anchor distT="0" distB="0" distL="114300" distR="114300" simplePos="0" relativeHeight="251677696" behindDoc="1" locked="0" layoutInCell="1" allowOverlap="1" wp14:anchorId="3EBB29C2" wp14:editId="5804903D">
          <wp:simplePos x="0" y="0"/>
          <wp:positionH relativeFrom="column">
            <wp:posOffset>-720090</wp:posOffset>
          </wp:positionH>
          <wp:positionV relativeFrom="paragraph">
            <wp:posOffset>-450215</wp:posOffset>
          </wp:positionV>
          <wp:extent cx="7772400" cy="1332946"/>
          <wp:effectExtent l="0" t="0" r="0" b="635"/>
          <wp:wrapNone/>
          <wp:docPr id="9" name="Imagen 9" descr="C:\Users\Dell\Desktop\Plantilla Revista INVECOM-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esktop\Plantilla Revista INVECOM-01.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b="86747"/>
                  <a:stretch/>
                </pic:blipFill>
                <pic:spPr bwMode="auto">
                  <a:xfrm>
                    <a:off x="0" y="0"/>
                    <a:ext cx="7772400" cy="133294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2D672D"/>
    <w:multiLevelType w:val="hybridMultilevel"/>
    <w:tmpl w:val="F0440F0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 w15:restartNumberingAfterBreak="0">
    <w:nsid w:val="04C52684"/>
    <w:multiLevelType w:val="hybridMultilevel"/>
    <w:tmpl w:val="9FB0997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B394DE0"/>
    <w:multiLevelType w:val="multilevel"/>
    <w:tmpl w:val="9BACBC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2726372"/>
    <w:multiLevelType w:val="multilevel"/>
    <w:tmpl w:val="90DE01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2BE29D0"/>
    <w:multiLevelType w:val="hybridMultilevel"/>
    <w:tmpl w:val="9AE4CDA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197676D5"/>
    <w:multiLevelType w:val="hybridMultilevel"/>
    <w:tmpl w:val="2B44510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1B084050"/>
    <w:multiLevelType w:val="multilevel"/>
    <w:tmpl w:val="2338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29F5B40"/>
    <w:multiLevelType w:val="hybridMultilevel"/>
    <w:tmpl w:val="DB0258E0"/>
    <w:lvl w:ilvl="0" w:tplc="04090001">
      <w:start w:val="1"/>
      <w:numFmt w:val="bullet"/>
      <w:lvlText w:val=""/>
      <w:lvlJc w:val="left"/>
      <w:pPr>
        <w:ind w:left="2149" w:hanging="360"/>
      </w:pPr>
      <w:rPr>
        <w:rFonts w:ascii="Symbol" w:hAnsi="Symbol" w:hint="default"/>
      </w:rPr>
    </w:lvl>
    <w:lvl w:ilvl="1" w:tplc="04090003" w:tentative="1">
      <w:start w:val="1"/>
      <w:numFmt w:val="bullet"/>
      <w:lvlText w:val="o"/>
      <w:lvlJc w:val="left"/>
      <w:pPr>
        <w:ind w:left="2869" w:hanging="360"/>
      </w:pPr>
      <w:rPr>
        <w:rFonts w:ascii="Courier New" w:hAnsi="Courier New" w:cs="Courier New" w:hint="default"/>
      </w:rPr>
    </w:lvl>
    <w:lvl w:ilvl="2" w:tplc="04090005" w:tentative="1">
      <w:start w:val="1"/>
      <w:numFmt w:val="bullet"/>
      <w:lvlText w:val=""/>
      <w:lvlJc w:val="left"/>
      <w:pPr>
        <w:ind w:left="3589" w:hanging="360"/>
      </w:pPr>
      <w:rPr>
        <w:rFonts w:ascii="Wingdings" w:hAnsi="Wingdings" w:hint="default"/>
      </w:rPr>
    </w:lvl>
    <w:lvl w:ilvl="3" w:tplc="04090001" w:tentative="1">
      <w:start w:val="1"/>
      <w:numFmt w:val="bullet"/>
      <w:lvlText w:val=""/>
      <w:lvlJc w:val="left"/>
      <w:pPr>
        <w:ind w:left="4309" w:hanging="360"/>
      </w:pPr>
      <w:rPr>
        <w:rFonts w:ascii="Symbol" w:hAnsi="Symbol" w:hint="default"/>
      </w:rPr>
    </w:lvl>
    <w:lvl w:ilvl="4" w:tplc="04090003" w:tentative="1">
      <w:start w:val="1"/>
      <w:numFmt w:val="bullet"/>
      <w:lvlText w:val="o"/>
      <w:lvlJc w:val="left"/>
      <w:pPr>
        <w:ind w:left="5029" w:hanging="360"/>
      </w:pPr>
      <w:rPr>
        <w:rFonts w:ascii="Courier New" w:hAnsi="Courier New" w:cs="Courier New" w:hint="default"/>
      </w:rPr>
    </w:lvl>
    <w:lvl w:ilvl="5" w:tplc="04090005" w:tentative="1">
      <w:start w:val="1"/>
      <w:numFmt w:val="bullet"/>
      <w:lvlText w:val=""/>
      <w:lvlJc w:val="left"/>
      <w:pPr>
        <w:ind w:left="5749" w:hanging="360"/>
      </w:pPr>
      <w:rPr>
        <w:rFonts w:ascii="Wingdings" w:hAnsi="Wingdings" w:hint="default"/>
      </w:rPr>
    </w:lvl>
    <w:lvl w:ilvl="6" w:tplc="04090001" w:tentative="1">
      <w:start w:val="1"/>
      <w:numFmt w:val="bullet"/>
      <w:lvlText w:val=""/>
      <w:lvlJc w:val="left"/>
      <w:pPr>
        <w:ind w:left="6469" w:hanging="360"/>
      </w:pPr>
      <w:rPr>
        <w:rFonts w:ascii="Symbol" w:hAnsi="Symbol" w:hint="default"/>
      </w:rPr>
    </w:lvl>
    <w:lvl w:ilvl="7" w:tplc="04090003" w:tentative="1">
      <w:start w:val="1"/>
      <w:numFmt w:val="bullet"/>
      <w:lvlText w:val="o"/>
      <w:lvlJc w:val="left"/>
      <w:pPr>
        <w:ind w:left="7189" w:hanging="360"/>
      </w:pPr>
      <w:rPr>
        <w:rFonts w:ascii="Courier New" w:hAnsi="Courier New" w:cs="Courier New" w:hint="default"/>
      </w:rPr>
    </w:lvl>
    <w:lvl w:ilvl="8" w:tplc="04090005" w:tentative="1">
      <w:start w:val="1"/>
      <w:numFmt w:val="bullet"/>
      <w:lvlText w:val=""/>
      <w:lvlJc w:val="left"/>
      <w:pPr>
        <w:ind w:left="7909" w:hanging="360"/>
      </w:pPr>
      <w:rPr>
        <w:rFonts w:ascii="Wingdings" w:hAnsi="Wingdings" w:hint="default"/>
      </w:rPr>
    </w:lvl>
  </w:abstractNum>
  <w:abstractNum w:abstractNumId="8" w15:restartNumberingAfterBreak="0">
    <w:nsid w:val="233E3822"/>
    <w:multiLevelType w:val="multilevel"/>
    <w:tmpl w:val="3AA061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33E4C85"/>
    <w:multiLevelType w:val="multilevel"/>
    <w:tmpl w:val="C3D09A4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86A3235"/>
    <w:multiLevelType w:val="multilevel"/>
    <w:tmpl w:val="D0C6D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2326DFF"/>
    <w:multiLevelType w:val="hybridMultilevel"/>
    <w:tmpl w:val="19A89310"/>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12" w15:restartNumberingAfterBreak="0">
    <w:nsid w:val="35A6592C"/>
    <w:multiLevelType w:val="hybridMultilevel"/>
    <w:tmpl w:val="4AF86834"/>
    <w:lvl w:ilvl="0" w:tplc="EDBE36E4">
      <w:start w:val="1"/>
      <w:numFmt w:val="bullet"/>
      <w:lvlText w:val="•"/>
      <w:lvlJc w:val="left"/>
      <w:pPr>
        <w:tabs>
          <w:tab w:val="num" w:pos="720"/>
        </w:tabs>
        <w:ind w:left="720" w:hanging="360"/>
      </w:pPr>
      <w:rPr>
        <w:rFonts w:ascii="Times New Roman" w:hAnsi="Times New Roman" w:hint="default"/>
      </w:rPr>
    </w:lvl>
    <w:lvl w:ilvl="1" w:tplc="3B78C450" w:tentative="1">
      <w:start w:val="1"/>
      <w:numFmt w:val="bullet"/>
      <w:lvlText w:val="•"/>
      <w:lvlJc w:val="left"/>
      <w:pPr>
        <w:tabs>
          <w:tab w:val="num" w:pos="1440"/>
        </w:tabs>
        <w:ind w:left="1440" w:hanging="360"/>
      </w:pPr>
      <w:rPr>
        <w:rFonts w:ascii="Times New Roman" w:hAnsi="Times New Roman" w:hint="default"/>
      </w:rPr>
    </w:lvl>
    <w:lvl w:ilvl="2" w:tplc="DFE60D6C" w:tentative="1">
      <w:start w:val="1"/>
      <w:numFmt w:val="bullet"/>
      <w:lvlText w:val="•"/>
      <w:lvlJc w:val="left"/>
      <w:pPr>
        <w:tabs>
          <w:tab w:val="num" w:pos="2160"/>
        </w:tabs>
        <w:ind w:left="2160" w:hanging="360"/>
      </w:pPr>
      <w:rPr>
        <w:rFonts w:ascii="Times New Roman" w:hAnsi="Times New Roman" w:hint="default"/>
      </w:rPr>
    </w:lvl>
    <w:lvl w:ilvl="3" w:tplc="31167CF0" w:tentative="1">
      <w:start w:val="1"/>
      <w:numFmt w:val="bullet"/>
      <w:lvlText w:val="•"/>
      <w:lvlJc w:val="left"/>
      <w:pPr>
        <w:tabs>
          <w:tab w:val="num" w:pos="2880"/>
        </w:tabs>
        <w:ind w:left="2880" w:hanging="360"/>
      </w:pPr>
      <w:rPr>
        <w:rFonts w:ascii="Times New Roman" w:hAnsi="Times New Roman" w:hint="default"/>
      </w:rPr>
    </w:lvl>
    <w:lvl w:ilvl="4" w:tplc="94CA8F30" w:tentative="1">
      <w:start w:val="1"/>
      <w:numFmt w:val="bullet"/>
      <w:lvlText w:val="•"/>
      <w:lvlJc w:val="left"/>
      <w:pPr>
        <w:tabs>
          <w:tab w:val="num" w:pos="3600"/>
        </w:tabs>
        <w:ind w:left="3600" w:hanging="360"/>
      </w:pPr>
      <w:rPr>
        <w:rFonts w:ascii="Times New Roman" w:hAnsi="Times New Roman" w:hint="default"/>
      </w:rPr>
    </w:lvl>
    <w:lvl w:ilvl="5" w:tplc="9136533A" w:tentative="1">
      <w:start w:val="1"/>
      <w:numFmt w:val="bullet"/>
      <w:lvlText w:val="•"/>
      <w:lvlJc w:val="left"/>
      <w:pPr>
        <w:tabs>
          <w:tab w:val="num" w:pos="4320"/>
        </w:tabs>
        <w:ind w:left="4320" w:hanging="360"/>
      </w:pPr>
      <w:rPr>
        <w:rFonts w:ascii="Times New Roman" w:hAnsi="Times New Roman" w:hint="default"/>
      </w:rPr>
    </w:lvl>
    <w:lvl w:ilvl="6" w:tplc="3CB43FC8" w:tentative="1">
      <w:start w:val="1"/>
      <w:numFmt w:val="bullet"/>
      <w:lvlText w:val="•"/>
      <w:lvlJc w:val="left"/>
      <w:pPr>
        <w:tabs>
          <w:tab w:val="num" w:pos="5040"/>
        </w:tabs>
        <w:ind w:left="5040" w:hanging="360"/>
      </w:pPr>
      <w:rPr>
        <w:rFonts w:ascii="Times New Roman" w:hAnsi="Times New Roman" w:hint="default"/>
      </w:rPr>
    </w:lvl>
    <w:lvl w:ilvl="7" w:tplc="28A83B80" w:tentative="1">
      <w:start w:val="1"/>
      <w:numFmt w:val="bullet"/>
      <w:lvlText w:val="•"/>
      <w:lvlJc w:val="left"/>
      <w:pPr>
        <w:tabs>
          <w:tab w:val="num" w:pos="5760"/>
        </w:tabs>
        <w:ind w:left="5760" w:hanging="360"/>
      </w:pPr>
      <w:rPr>
        <w:rFonts w:ascii="Times New Roman" w:hAnsi="Times New Roman" w:hint="default"/>
      </w:rPr>
    </w:lvl>
    <w:lvl w:ilvl="8" w:tplc="199E1346"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3BDF070A"/>
    <w:multiLevelType w:val="hybridMultilevel"/>
    <w:tmpl w:val="7C0C3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CD5797C"/>
    <w:multiLevelType w:val="hybridMultilevel"/>
    <w:tmpl w:val="A7E80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CF42C50"/>
    <w:multiLevelType w:val="hybridMultilevel"/>
    <w:tmpl w:val="77C06BD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3DBF7A3C"/>
    <w:multiLevelType w:val="hybridMultilevel"/>
    <w:tmpl w:val="2CAAF866"/>
    <w:lvl w:ilvl="0" w:tplc="04090001">
      <w:start w:val="1"/>
      <w:numFmt w:val="bullet"/>
      <w:lvlText w:val=""/>
      <w:lvlJc w:val="left"/>
      <w:pPr>
        <w:ind w:left="2149" w:hanging="360"/>
      </w:pPr>
      <w:rPr>
        <w:rFonts w:ascii="Symbol" w:hAnsi="Symbol" w:hint="default"/>
      </w:rPr>
    </w:lvl>
    <w:lvl w:ilvl="1" w:tplc="04090003" w:tentative="1">
      <w:start w:val="1"/>
      <w:numFmt w:val="bullet"/>
      <w:lvlText w:val="o"/>
      <w:lvlJc w:val="left"/>
      <w:pPr>
        <w:ind w:left="2869" w:hanging="360"/>
      </w:pPr>
      <w:rPr>
        <w:rFonts w:ascii="Courier New" w:hAnsi="Courier New" w:cs="Courier New" w:hint="default"/>
      </w:rPr>
    </w:lvl>
    <w:lvl w:ilvl="2" w:tplc="04090005" w:tentative="1">
      <w:start w:val="1"/>
      <w:numFmt w:val="bullet"/>
      <w:lvlText w:val=""/>
      <w:lvlJc w:val="left"/>
      <w:pPr>
        <w:ind w:left="3589" w:hanging="360"/>
      </w:pPr>
      <w:rPr>
        <w:rFonts w:ascii="Wingdings" w:hAnsi="Wingdings" w:hint="default"/>
      </w:rPr>
    </w:lvl>
    <w:lvl w:ilvl="3" w:tplc="04090001" w:tentative="1">
      <w:start w:val="1"/>
      <w:numFmt w:val="bullet"/>
      <w:lvlText w:val=""/>
      <w:lvlJc w:val="left"/>
      <w:pPr>
        <w:ind w:left="4309" w:hanging="360"/>
      </w:pPr>
      <w:rPr>
        <w:rFonts w:ascii="Symbol" w:hAnsi="Symbol" w:hint="default"/>
      </w:rPr>
    </w:lvl>
    <w:lvl w:ilvl="4" w:tplc="04090003" w:tentative="1">
      <w:start w:val="1"/>
      <w:numFmt w:val="bullet"/>
      <w:lvlText w:val="o"/>
      <w:lvlJc w:val="left"/>
      <w:pPr>
        <w:ind w:left="5029" w:hanging="360"/>
      </w:pPr>
      <w:rPr>
        <w:rFonts w:ascii="Courier New" w:hAnsi="Courier New" w:cs="Courier New" w:hint="default"/>
      </w:rPr>
    </w:lvl>
    <w:lvl w:ilvl="5" w:tplc="04090005" w:tentative="1">
      <w:start w:val="1"/>
      <w:numFmt w:val="bullet"/>
      <w:lvlText w:val=""/>
      <w:lvlJc w:val="left"/>
      <w:pPr>
        <w:ind w:left="5749" w:hanging="360"/>
      </w:pPr>
      <w:rPr>
        <w:rFonts w:ascii="Wingdings" w:hAnsi="Wingdings" w:hint="default"/>
      </w:rPr>
    </w:lvl>
    <w:lvl w:ilvl="6" w:tplc="04090001" w:tentative="1">
      <w:start w:val="1"/>
      <w:numFmt w:val="bullet"/>
      <w:lvlText w:val=""/>
      <w:lvlJc w:val="left"/>
      <w:pPr>
        <w:ind w:left="6469" w:hanging="360"/>
      </w:pPr>
      <w:rPr>
        <w:rFonts w:ascii="Symbol" w:hAnsi="Symbol" w:hint="default"/>
      </w:rPr>
    </w:lvl>
    <w:lvl w:ilvl="7" w:tplc="04090003" w:tentative="1">
      <w:start w:val="1"/>
      <w:numFmt w:val="bullet"/>
      <w:lvlText w:val="o"/>
      <w:lvlJc w:val="left"/>
      <w:pPr>
        <w:ind w:left="7189" w:hanging="360"/>
      </w:pPr>
      <w:rPr>
        <w:rFonts w:ascii="Courier New" w:hAnsi="Courier New" w:cs="Courier New" w:hint="default"/>
      </w:rPr>
    </w:lvl>
    <w:lvl w:ilvl="8" w:tplc="04090005" w:tentative="1">
      <w:start w:val="1"/>
      <w:numFmt w:val="bullet"/>
      <w:lvlText w:val=""/>
      <w:lvlJc w:val="left"/>
      <w:pPr>
        <w:ind w:left="7909" w:hanging="360"/>
      </w:pPr>
      <w:rPr>
        <w:rFonts w:ascii="Wingdings" w:hAnsi="Wingdings" w:hint="default"/>
      </w:rPr>
    </w:lvl>
  </w:abstractNum>
  <w:abstractNum w:abstractNumId="17" w15:restartNumberingAfterBreak="0">
    <w:nsid w:val="4B6A558C"/>
    <w:multiLevelType w:val="hybridMultilevel"/>
    <w:tmpl w:val="3BE87F92"/>
    <w:lvl w:ilvl="0" w:tplc="04090001">
      <w:start w:val="1"/>
      <w:numFmt w:val="bullet"/>
      <w:lvlText w:val=""/>
      <w:lvlJc w:val="left"/>
      <w:pPr>
        <w:ind w:left="2149" w:hanging="360"/>
      </w:pPr>
      <w:rPr>
        <w:rFonts w:ascii="Symbol" w:hAnsi="Symbol" w:hint="default"/>
      </w:rPr>
    </w:lvl>
    <w:lvl w:ilvl="1" w:tplc="04090003" w:tentative="1">
      <w:start w:val="1"/>
      <w:numFmt w:val="bullet"/>
      <w:lvlText w:val="o"/>
      <w:lvlJc w:val="left"/>
      <w:pPr>
        <w:ind w:left="2869" w:hanging="360"/>
      </w:pPr>
      <w:rPr>
        <w:rFonts w:ascii="Courier New" w:hAnsi="Courier New" w:cs="Courier New" w:hint="default"/>
      </w:rPr>
    </w:lvl>
    <w:lvl w:ilvl="2" w:tplc="04090005" w:tentative="1">
      <w:start w:val="1"/>
      <w:numFmt w:val="bullet"/>
      <w:lvlText w:val=""/>
      <w:lvlJc w:val="left"/>
      <w:pPr>
        <w:ind w:left="3589" w:hanging="360"/>
      </w:pPr>
      <w:rPr>
        <w:rFonts w:ascii="Wingdings" w:hAnsi="Wingdings" w:hint="default"/>
      </w:rPr>
    </w:lvl>
    <w:lvl w:ilvl="3" w:tplc="04090001" w:tentative="1">
      <w:start w:val="1"/>
      <w:numFmt w:val="bullet"/>
      <w:lvlText w:val=""/>
      <w:lvlJc w:val="left"/>
      <w:pPr>
        <w:ind w:left="4309" w:hanging="360"/>
      </w:pPr>
      <w:rPr>
        <w:rFonts w:ascii="Symbol" w:hAnsi="Symbol" w:hint="default"/>
      </w:rPr>
    </w:lvl>
    <w:lvl w:ilvl="4" w:tplc="04090003" w:tentative="1">
      <w:start w:val="1"/>
      <w:numFmt w:val="bullet"/>
      <w:lvlText w:val="o"/>
      <w:lvlJc w:val="left"/>
      <w:pPr>
        <w:ind w:left="5029" w:hanging="360"/>
      </w:pPr>
      <w:rPr>
        <w:rFonts w:ascii="Courier New" w:hAnsi="Courier New" w:cs="Courier New" w:hint="default"/>
      </w:rPr>
    </w:lvl>
    <w:lvl w:ilvl="5" w:tplc="04090005" w:tentative="1">
      <w:start w:val="1"/>
      <w:numFmt w:val="bullet"/>
      <w:lvlText w:val=""/>
      <w:lvlJc w:val="left"/>
      <w:pPr>
        <w:ind w:left="5749" w:hanging="360"/>
      </w:pPr>
      <w:rPr>
        <w:rFonts w:ascii="Wingdings" w:hAnsi="Wingdings" w:hint="default"/>
      </w:rPr>
    </w:lvl>
    <w:lvl w:ilvl="6" w:tplc="04090001" w:tentative="1">
      <w:start w:val="1"/>
      <w:numFmt w:val="bullet"/>
      <w:lvlText w:val=""/>
      <w:lvlJc w:val="left"/>
      <w:pPr>
        <w:ind w:left="6469" w:hanging="360"/>
      </w:pPr>
      <w:rPr>
        <w:rFonts w:ascii="Symbol" w:hAnsi="Symbol" w:hint="default"/>
      </w:rPr>
    </w:lvl>
    <w:lvl w:ilvl="7" w:tplc="04090003" w:tentative="1">
      <w:start w:val="1"/>
      <w:numFmt w:val="bullet"/>
      <w:lvlText w:val="o"/>
      <w:lvlJc w:val="left"/>
      <w:pPr>
        <w:ind w:left="7189" w:hanging="360"/>
      </w:pPr>
      <w:rPr>
        <w:rFonts w:ascii="Courier New" w:hAnsi="Courier New" w:cs="Courier New" w:hint="default"/>
      </w:rPr>
    </w:lvl>
    <w:lvl w:ilvl="8" w:tplc="04090005" w:tentative="1">
      <w:start w:val="1"/>
      <w:numFmt w:val="bullet"/>
      <w:lvlText w:val=""/>
      <w:lvlJc w:val="left"/>
      <w:pPr>
        <w:ind w:left="7909" w:hanging="360"/>
      </w:pPr>
      <w:rPr>
        <w:rFonts w:ascii="Wingdings" w:hAnsi="Wingdings" w:hint="default"/>
      </w:rPr>
    </w:lvl>
  </w:abstractNum>
  <w:abstractNum w:abstractNumId="18" w15:restartNumberingAfterBreak="0">
    <w:nsid w:val="5026786E"/>
    <w:multiLevelType w:val="multilevel"/>
    <w:tmpl w:val="CB94770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51950B27"/>
    <w:multiLevelType w:val="multilevel"/>
    <w:tmpl w:val="048A5B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4F219BC"/>
    <w:multiLevelType w:val="hybridMultilevel"/>
    <w:tmpl w:val="CA1893DC"/>
    <w:lvl w:ilvl="0" w:tplc="04090001">
      <w:start w:val="1"/>
      <w:numFmt w:val="bullet"/>
      <w:lvlText w:val=""/>
      <w:lvlJc w:val="left"/>
      <w:pPr>
        <w:ind w:left="2149" w:hanging="360"/>
      </w:pPr>
      <w:rPr>
        <w:rFonts w:ascii="Symbol" w:hAnsi="Symbol" w:hint="default"/>
      </w:rPr>
    </w:lvl>
    <w:lvl w:ilvl="1" w:tplc="04090003" w:tentative="1">
      <w:start w:val="1"/>
      <w:numFmt w:val="bullet"/>
      <w:lvlText w:val="o"/>
      <w:lvlJc w:val="left"/>
      <w:pPr>
        <w:ind w:left="2869" w:hanging="360"/>
      </w:pPr>
      <w:rPr>
        <w:rFonts w:ascii="Courier New" w:hAnsi="Courier New" w:cs="Courier New" w:hint="default"/>
      </w:rPr>
    </w:lvl>
    <w:lvl w:ilvl="2" w:tplc="04090005" w:tentative="1">
      <w:start w:val="1"/>
      <w:numFmt w:val="bullet"/>
      <w:lvlText w:val=""/>
      <w:lvlJc w:val="left"/>
      <w:pPr>
        <w:ind w:left="3589" w:hanging="360"/>
      </w:pPr>
      <w:rPr>
        <w:rFonts w:ascii="Wingdings" w:hAnsi="Wingdings" w:hint="default"/>
      </w:rPr>
    </w:lvl>
    <w:lvl w:ilvl="3" w:tplc="04090001" w:tentative="1">
      <w:start w:val="1"/>
      <w:numFmt w:val="bullet"/>
      <w:lvlText w:val=""/>
      <w:lvlJc w:val="left"/>
      <w:pPr>
        <w:ind w:left="4309" w:hanging="360"/>
      </w:pPr>
      <w:rPr>
        <w:rFonts w:ascii="Symbol" w:hAnsi="Symbol" w:hint="default"/>
      </w:rPr>
    </w:lvl>
    <w:lvl w:ilvl="4" w:tplc="04090003" w:tentative="1">
      <w:start w:val="1"/>
      <w:numFmt w:val="bullet"/>
      <w:lvlText w:val="o"/>
      <w:lvlJc w:val="left"/>
      <w:pPr>
        <w:ind w:left="5029" w:hanging="360"/>
      </w:pPr>
      <w:rPr>
        <w:rFonts w:ascii="Courier New" w:hAnsi="Courier New" w:cs="Courier New" w:hint="default"/>
      </w:rPr>
    </w:lvl>
    <w:lvl w:ilvl="5" w:tplc="04090005" w:tentative="1">
      <w:start w:val="1"/>
      <w:numFmt w:val="bullet"/>
      <w:lvlText w:val=""/>
      <w:lvlJc w:val="left"/>
      <w:pPr>
        <w:ind w:left="5749" w:hanging="360"/>
      </w:pPr>
      <w:rPr>
        <w:rFonts w:ascii="Wingdings" w:hAnsi="Wingdings" w:hint="default"/>
      </w:rPr>
    </w:lvl>
    <w:lvl w:ilvl="6" w:tplc="04090001" w:tentative="1">
      <w:start w:val="1"/>
      <w:numFmt w:val="bullet"/>
      <w:lvlText w:val=""/>
      <w:lvlJc w:val="left"/>
      <w:pPr>
        <w:ind w:left="6469" w:hanging="360"/>
      </w:pPr>
      <w:rPr>
        <w:rFonts w:ascii="Symbol" w:hAnsi="Symbol" w:hint="default"/>
      </w:rPr>
    </w:lvl>
    <w:lvl w:ilvl="7" w:tplc="04090003" w:tentative="1">
      <w:start w:val="1"/>
      <w:numFmt w:val="bullet"/>
      <w:lvlText w:val="o"/>
      <w:lvlJc w:val="left"/>
      <w:pPr>
        <w:ind w:left="7189" w:hanging="360"/>
      </w:pPr>
      <w:rPr>
        <w:rFonts w:ascii="Courier New" w:hAnsi="Courier New" w:cs="Courier New" w:hint="default"/>
      </w:rPr>
    </w:lvl>
    <w:lvl w:ilvl="8" w:tplc="04090005" w:tentative="1">
      <w:start w:val="1"/>
      <w:numFmt w:val="bullet"/>
      <w:lvlText w:val=""/>
      <w:lvlJc w:val="left"/>
      <w:pPr>
        <w:ind w:left="7909" w:hanging="360"/>
      </w:pPr>
      <w:rPr>
        <w:rFonts w:ascii="Wingdings" w:hAnsi="Wingdings" w:hint="default"/>
      </w:rPr>
    </w:lvl>
  </w:abstractNum>
  <w:abstractNum w:abstractNumId="21" w15:restartNumberingAfterBreak="0">
    <w:nsid w:val="56582A7D"/>
    <w:multiLevelType w:val="hybridMultilevel"/>
    <w:tmpl w:val="5A6425C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5DA71276"/>
    <w:multiLevelType w:val="hybridMultilevel"/>
    <w:tmpl w:val="D66683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623C61B3"/>
    <w:multiLevelType w:val="hybridMultilevel"/>
    <w:tmpl w:val="B7583498"/>
    <w:lvl w:ilvl="0" w:tplc="04090001">
      <w:start w:val="1"/>
      <w:numFmt w:val="bullet"/>
      <w:lvlText w:val=""/>
      <w:lvlJc w:val="left"/>
      <w:pPr>
        <w:ind w:left="2149" w:hanging="360"/>
      </w:pPr>
      <w:rPr>
        <w:rFonts w:ascii="Symbol" w:hAnsi="Symbol" w:hint="default"/>
      </w:rPr>
    </w:lvl>
    <w:lvl w:ilvl="1" w:tplc="04090003" w:tentative="1">
      <w:start w:val="1"/>
      <w:numFmt w:val="bullet"/>
      <w:lvlText w:val="o"/>
      <w:lvlJc w:val="left"/>
      <w:pPr>
        <w:ind w:left="2869" w:hanging="360"/>
      </w:pPr>
      <w:rPr>
        <w:rFonts w:ascii="Courier New" w:hAnsi="Courier New" w:cs="Courier New" w:hint="default"/>
      </w:rPr>
    </w:lvl>
    <w:lvl w:ilvl="2" w:tplc="04090005" w:tentative="1">
      <w:start w:val="1"/>
      <w:numFmt w:val="bullet"/>
      <w:lvlText w:val=""/>
      <w:lvlJc w:val="left"/>
      <w:pPr>
        <w:ind w:left="3589" w:hanging="360"/>
      </w:pPr>
      <w:rPr>
        <w:rFonts w:ascii="Wingdings" w:hAnsi="Wingdings" w:hint="default"/>
      </w:rPr>
    </w:lvl>
    <w:lvl w:ilvl="3" w:tplc="04090001" w:tentative="1">
      <w:start w:val="1"/>
      <w:numFmt w:val="bullet"/>
      <w:lvlText w:val=""/>
      <w:lvlJc w:val="left"/>
      <w:pPr>
        <w:ind w:left="4309" w:hanging="360"/>
      </w:pPr>
      <w:rPr>
        <w:rFonts w:ascii="Symbol" w:hAnsi="Symbol" w:hint="default"/>
      </w:rPr>
    </w:lvl>
    <w:lvl w:ilvl="4" w:tplc="04090003" w:tentative="1">
      <w:start w:val="1"/>
      <w:numFmt w:val="bullet"/>
      <w:lvlText w:val="o"/>
      <w:lvlJc w:val="left"/>
      <w:pPr>
        <w:ind w:left="5029" w:hanging="360"/>
      </w:pPr>
      <w:rPr>
        <w:rFonts w:ascii="Courier New" w:hAnsi="Courier New" w:cs="Courier New" w:hint="default"/>
      </w:rPr>
    </w:lvl>
    <w:lvl w:ilvl="5" w:tplc="04090005" w:tentative="1">
      <w:start w:val="1"/>
      <w:numFmt w:val="bullet"/>
      <w:lvlText w:val=""/>
      <w:lvlJc w:val="left"/>
      <w:pPr>
        <w:ind w:left="5749" w:hanging="360"/>
      </w:pPr>
      <w:rPr>
        <w:rFonts w:ascii="Wingdings" w:hAnsi="Wingdings" w:hint="default"/>
      </w:rPr>
    </w:lvl>
    <w:lvl w:ilvl="6" w:tplc="04090001" w:tentative="1">
      <w:start w:val="1"/>
      <w:numFmt w:val="bullet"/>
      <w:lvlText w:val=""/>
      <w:lvlJc w:val="left"/>
      <w:pPr>
        <w:ind w:left="6469" w:hanging="360"/>
      </w:pPr>
      <w:rPr>
        <w:rFonts w:ascii="Symbol" w:hAnsi="Symbol" w:hint="default"/>
      </w:rPr>
    </w:lvl>
    <w:lvl w:ilvl="7" w:tplc="04090003" w:tentative="1">
      <w:start w:val="1"/>
      <w:numFmt w:val="bullet"/>
      <w:lvlText w:val="o"/>
      <w:lvlJc w:val="left"/>
      <w:pPr>
        <w:ind w:left="7189" w:hanging="360"/>
      </w:pPr>
      <w:rPr>
        <w:rFonts w:ascii="Courier New" w:hAnsi="Courier New" w:cs="Courier New" w:hint="default"/>
      </w:rPr>
    </w:lvl>
    <w:lvl w:ilvl="8" w:tplc="04090005" w:tentative="1">
      <w:start w:val="1"/>
      <w:numFmt w:val="bullet"/>
      <w:lvlText w:val=""/>
      <w:lvlJc w:val="left"/>
      <w:pPr>
        <w:ind w:left="7909" w:hanging="360"/>
      </w:pPr>
      <w:rPr>
        <w:rFonts w:ascii="Wingdings" w:hAnsi="Wingdings" w:hint="default"/>
      </w:rPr>
    </w:lvl>
  </w:abstractNum>
  <w:abstractNum w:abstractNumId="24" w15:restartNumberingAfterBreak="0">
    <w:nsid w:val="70A2438E"/>
    <w:multiLevelType w:val="multilevel"/>
    <w:tmpl w:val="E556B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769E6749"/>
    <w:multiLevelType w:val="multilevel"/>
    <w:tmpl w:val="5184CD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7858110C"/>
    <w:multiLevelType w:val="multilevel"/>
    <w:tmpl w:val="6F244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78774D4D"/>
    <w:multiLevelType w:val="multilevel"/>
    <w:tmpl w:val="8C54E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7"/>
  </w:num>
  <w:num w:numId="2">
    <w:abstractNumId w:val="14"/>
  </w:num>
  <w:num w:numId="3">
    <w:abstractNumId w:val="17"/>
  </w:num>
  <w:num w:numId="4">
    <w:abstractNumId w:val="5"/>
  </w:num>
  <w:num w:numId="5">
    <w:abstractNumId w:val="22"/>
  </w:num>
  <w:num w:numId="6">
    <w:abstractNumId w:val="1"/>
  </w:num>
  <w:num w:numId="7">
    <w:abstractNumId w:val="10"/>
  </w:num>
  <w:num w:numId="8">
    <w:abstractNumId w:val="2"/>
  </w:num>
  <w:num w:numId="9">
    <w:abstractNumId w:val="4"/>
  </w:num>
  <w:num w:numId="10">
    <w:abstractNumId w:val="21"/>
  </w:num>
  <w:num w:numId="11">
    <w:abstractNumId w:val="19"/>
  </w:num>
  <w:num w:numId="12">
    <w:abstractNumId w:val="3"/>
  </w:num>
  <w:num w:numId="13">
    <w:abstractNumId w:val="27"/>
  </w:num>
  <w:num w:numId="14">
    <w:abstractNumId w:val="16"/>
  </w:num>
  <w:num w:numId="15">
    <w:abstractNumId w:val="20"/>
  </w:num>
  <w:num w:numId="16">
    <w:abstractNumId w:val="0"/>
  </w:num>
  <w:num w:numId="17">
    <w:abstractNumId w:val="24"/>
  </w:num>
  <w:num w:numId="18">
    <w:abstractNumId w:val="23"/>
  </w:num>
  <w:num w:numId="19">
    <w:abstractNumId w:val="8"/>
  </w:num>
  <w:num w:numId="20">
    <w:abstractNumId w:val="25"/>
  </w:num>
  <w:num w:numId="21">
    <w:abstractNumId w:val="15"/>
  </w:num>
  <w:num w:numId="22">
    <w:abstractNumId w:val="12"/>
  </w:num>
  <w:num w:numId="23">
    <w:abstractNumId w:val="26"/>
  </w:num>
  <w:num w:numId="24">
    <w:abstractNumId w:val="13"/>
  </w:num>
  <w:num w:numId="25">
    <w:abstractNumId w:val="9"/>
  </w:num>
  <w:num w:numId="26">
    <w:abstractNumId w:val="18"/>
  </w:num>
  <w:num w:numId="27">
    <w:abstractNumId w:val="6"/>
  </w:num>
  <w:num w:numId="28">
    <w:abstractNumId w:val="1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TrueTypeFonts/>
  <w:saveSubsetFonts/>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A4FFB"/>
    <w:rsid w:val="00005D50"/>
    <w:rsid w:val="00006B37"/>
    <w:rsid w:val="00007167"/>
    <w:rsid w:val="00010310"/>
    <w:rsid w:val="00011BC9"/>
    <w:rsid w:val="000123CA"/>
    <w:rsid w:val="000126DE"/>
    <w:rsid w:val="00012D63"/>
    <w:rsid w:val="0001443C"/>
    <w:rsid w:val="00020216"/>
    <w:rsid w:val="000241E0"/>
    <w:rsid w:val="0002730F"/>
    <w:rsid w:val="00032971"/>
    <w:rsid w:val="000420E7"/>
    <w:rsid w:val="00045C14"/>
    <w:rsid w:val="000527FB"/>
    <w:rsid w:val="000529D8"/>
    <w:rsid w:val="00053251"/>
    <w:rsid w:val="00054BC9"/>
    <w:rsid w:val="000619A7"/>
    <w:rsid w:val="000624DD"/>
    <w:rsid w:val="000647AE"/>
    <w:rsid w:val="00065DC6"/>
    <w:rsid w:val="00070288"/>
    <w:rsid w:val="00074C6D"/>
    <w:rsid w:val="00075878"/>
    <w:rsid w:val="00076CD2"/>
    <w:rsid w:val="000806EF"/>
    <w:rsid w:val="000817AE"/>
    <w:rsid w:val="00083D90"/>
    <w:rsid w:val="00091334"/>
    <w:rsid w:val="00091EC4"/>
    <w:rsid w:val="00092665"/>
    <w:rsid w:val="00093631"/>
    <w:rsid w:val="000A0B16"/>
    <w:rsid w:val="000A2578"/>
    <w:rsid w:val="000A4141"/>
    <w:rsid w:val="000A4AA2"/>
    <w:rsid w:val="000A6AF0"/>
    <w:rsid w:val="000B085B"/>
    <w:rsid w:val="000B104D"/>
    <w:rsid w:val="000B473B"/>
    <w:rsid w:val="000B735B"/>
    <w:rsid w:val="000D1F3E"/>
    <w:rsid w:val="000D6325"/>
    <w:rsid w:val="000D6576"/>
    <w:rsid w:val="000E0357"/>
    <w:rsid w:val="000E1781"/>
    <w:rsid w:val="000E18E9"/>
    <w:rsid w:val="000E1927"/>
    <w:rsid w:val="000E307E"/>
    <w:rsid w:val="000E3304"/>
    <w:rsid w:val="000E77DE"/>
    <w:rsid w:val="000E7EF6"/>
    <w:rsid w:val="000F225E"/>
    <w:rsid w:val="000F275E"/>
    <w:rsid w:val="000F453D"/>
    <w:rsid w:val="000F7327"/>
    <w:rsid w:val="000F7A14"/>
    <w:rsid w:val="001007E8"/>
    <w:rsid w:val="00111DD2"/>
    <w:rsid w:val="001165A2"/>
    <w:rsid w:val="001209B9"/>
    <w:rsid w:val="00123180"/>
    <w:rsid w:val="00124109"/>
    <w:rsid w:val="00125699"/>
    <w:rsid w:val="0012612E"/>
    <w:rsid w:val="00126DB1"/>
    <w:rsid w:val="00130083"/>
    <w:rsid w:val="001321F2"/>
    <w:rsid w:val="0014044D"/>
    <w:rsid w:val="001417A3"/>
    <w:rsid w:val="00142EB6"/>
    <w:rsid w:val="00143823"/>
    <w:rsid w:val="001443AC"/>
    <w:rsid w:val="00144660"/>
    <w:rsid w:val="0014783B"/>
    <w:rsid w:val="00150AAF"/>
    <w:rsid w:val="001522B4"/>
    <w:rsid w:val="00154817"/>
    <w:rsid w:val="00154EC4"/>
    <w:rsid w:val="001563D7"/>
    <w:rsid w:val="00162B65"/>
    <w:rsid w:val="0016308D"/>
    <w:rsid w:val="0016370F"/>
    <w:rsid w:val="00165237"/>
    <w:rsid w:val="001653A2"/>
    <w:rsid w:val="00165EE5"/>
    <w:rsid w:val="00166D71"/>
    <w:rsid w:val="00173550"/>
    <w:rsid w:val="00175702"/>
    <w:rsid w:val="00175E94"/>
    <w:rsid w:val="00176D1E"/>
    <w:rsid w:val="00181564"/>
    <w:rsid w:val="00183286"/>
    <w:rsid w:val="001834CD"/>
    <w:rsid w:val="001844A0"/>
    <w:rsid w:val="001917DE"/>
    <w:rsid w:val="00192169"/>
    <w:rsid w:val="001A2ED0"/>
    <w:rsid w:val="001A36D1"/>
    <w:rsid w:val="001A7188"/>
    <w:rsid w:val="001B1188"/>
    <w:rsid w:val="001B1C0E"/>
    <w:rsid w:val="001B50E4"/>
    <w:rsid w:val="001B67A8"/>
    <w:rsid w:val="001D3C2A"/>
    <w:rsid w:val="001D4528"/>
    <w:rsid w:val="001D4DAF"/>
    <w:rsid w:val="001D5B45"/>
    <w:rsid w:val="001D5B9F"/>
    <w:rsid w:val="001E0D90"/>
    <w:rsid w:val="001E0DF9"/>
    <w:rsid w:val="001E238F"/>
    <w:rsid w:val="001E2CB0"/>
    <w:rsid w:val="001E440C"/>
    <w:rsid w:val="001E6965"/>
    <w:rsid w:val="001E6FC7"/>
    <w:rsid w:val="001F0245"/>
    <w:rsid w:val="001F303C"/>
    <w:rsid w:val="001F5EA9"/>
    <w:rsid w:val="001F62D4"/>
    <w:rsid w:val="00203C27"/>
    <w:rsid w:val="00205B88"/>
    <w:rsid w:val="00205F1F"/>
    <w:rsid w:val="0021495E"/>
    <w:rsid w:val="00214FF5"/>
    <w:rsid w:val="00215797"/>
    <w:rsid w:val="00217635"/>
    <w:rsid w:val="00217E25"/>
    <w:rsid w:val="00221D17"/>
    <w:rsid w:val="002225F3"/>
    <w:rsid w:val="00222C76"/>
    <w:rsid w:val="00225E0E"/>
    <w:rsid w:val="0023119C"/>
    <w:rsid w:val="00231BBB"/>
    <w:rsid w:val="002409A4"/>
    <w:rsid w:val="0024159C"/>
    <w:rsid w:val="00246B46"/>
    <w:rsid w:val="00254D69"/>
    <w:rsid w:val="00254FF9"/>
    <w:rsid w:val="00255017"/>
    <w:rsid w:val="00256E9C"/>
    <w:rsid w:val="00260649"/>
    <w:rsid w:val="00262D30"/>
    <w:rsid w:val="00262F72"/>
    <w:rsid w:val="00265C7D"/>
    <w:rsid w:val="00275024"/>
    <w:rsid w:val="002776E3"/>
    <w:rsid w:val="00280FF4"/>
    <w:rsid w:val="00283E61"/>
    <w:rsid w:val="00285F13"/>
    <w:rsid w:val="00287D80"/>
    <w:rsid w:val="002A1DBB"/>
    <w:rsid w:val="002A350A"/>
    <w:rsid w:val="002A4F6D"/>
    <w:rsid w:val="002A64DE"/>
    <w:rsid w:val="002A7521"/>
    <w:rsid w:val="002B019D"/>
    <w:rsid w:val="002B142D"/>
    <w:rsid w:val="002B4DD9"/>
    <w:rsid w:val="002B71F0"/>
    <w:rsid w:val="002B79CE"/>
    <w:rsid w:val="002C2CB7"/>
    <w:rsid w:val="002C4633"/>
    <w:rsid w:val="002C4A61"/>
    <w:rsid w:val="002C5594"/>
    <w:rsid w:val="002D2ADB"/>
    <w:rsid w:val="002E1691"/>
    <w:rsid w:val="002E35E4"/>
    <w:rsid w:val="002E3DD0"/>
    <w:rsid w:val="002E4A19"/>
    <w:rsid w:val="002E5F97"/>
    <w:rsid w:val="002F1590"/>
    <w:rsid w:val="002F20D0"/>
    <w:rsid w:val="002F50B5"/>
    <w:rsid w:val="002F7447"/>
    <w:rsid w:val="002F774D"/>
    <w:rsid w:val="002F7C24"/>
    <w:rsid w:val="002F7CA3"/>
    <w:rsid w:val="003014E9"/>
    <w:rsid w:val="00302814"/>
    <w:rsid w:val="00302BC2"/>
    <w:rsid w:val="003040A7"/>
    <w:rsid w:val="00304553"/>
    <w:rsid w:val="00306F93"/>
    <w:rsid w:val="00316121"/>
    <w:rsid w:val="00316EA3"/>
    <w:rsid w:val="0032125D"/>
    <w:rsid w:val="00321B05"/>
    <w:rsid w:val="003266B9"/>
    <w:rsid w:val="00327501"/>
    <w:rsid w:val="00327831"/>
    <w:rsid w:val="00327E18"/>
    <w:rsid w:val="003315F7"/>
    <w:rsid w:val="00331C24"/>
    <w:rsid w:val="003356D1"/>
    <w:rsid w:val="003359ED"/>
    <w:rsid w:val="003413F9"/>
    <w:rsid w:val="00341A30"/>
    <w:rsid w:val="00343372"/>
    <w:rsid w:val="003505F2"/>
    <w:rsid w:val="00354496"/>
    <w:rsid w:val="00355C4C"/>
    <w:rsid w:val="0035620C"/>
    <w:rsid w:val="00357C45"/>
    <w:rsid w:val="003632F3"/>
    <w:rsid w:val="003638F4"/>
    <w:rsid w:val="00364E42"/>
    <w:rsid w:val="003662F6"/>
    <w:rsid w:val="003671C8"/>
    <w:rsid w:val="00370058"/>
    <w:rsid w:val="00370B2B"/>
    <w:rsid w:val="00374545"/>
    <w:rsid w:val="003820C3"/>
    <w:rsid w:val="00382D16"/>
    <w:rsid w:val="00383CF9"/>
    <w:rsid w:val="003862ED"/>
    <w:rsid w:val="0039036B"/>
    <w:rsid w:val="00391AEE"/>
    <w:rsid w:val="00392D7D"/>
    <w:rsid w:val="00392F45"/>
    <w:rsid w:val="0039531D"/>
    <w:rsid w:val="00397262"/>
    <w:rsid w:val="003A074D"/>
    <w:rsid w:val="003B067C"/>
    <w:rsid w:val="003B162A"/>
    <w:rsid w:val="003B266C"/>
    <w:rsid w:val="003B2724"/>
    <w:rsid w:val="003B4735"/>
    <w:rsid w:val="003B5B9F"/>
    <w:rsid w:val="003C0940"/>
    <w:rsid w:val="003C4BF7"/>
    <w:rsid w:val="003C4E8D"/>
    <w:rsid w:val="003C5D21"/>
    <w:rsid w:val="003C607D"/>
    <w:rsid w:val="003C797C"/>
    <w:rsid w:val="003D3FD6"/>
    <w:rsid w:val="003D706F"/>
    <w:rsid w:val="003E2A79"/>
    <w:rsid w:val="003E3E46"/>
    <w:rsid w:val="003E4414"/>
    <w:rsid w:val="003E5AF8"/>
    <w:rsid w:val="003F0024"/>
    <w:rsid w:val="003F141A"/>
    <w:rsid w:val="003F1E41"/>
    <w:rsid w:val="003F50F4"/>
    <w:rsid w:val="003F6BB9"/>
    <w:rsid w:val="00400D73"/>
    <w:rsid w:val="00402ABF"/>
    <w:rsid w:val="00403FFD"/>
    <w:rsid w:val="00405A45"/>
    <w:rsid w:val="004061A5"/>
    <w:rsid w:val="00407B15"/>
    <w:rsid w:val="00412544"/>
    <w:rsid w:val="004150F8"/>
    <w:rsid w:val="0042308E"/>
    <w:rsid w:val="0042415E"/>
    <w:rsid w:val="004250CD"/>
    <w:rsid w:val="004356E7"/>
    <w:rsid w:val="004364D5"/>
    <w:rsid w:val="004365B8"/>
    <w:rsid w:val="004407EF"/>
    <w:rsid w:val="00440C52"/>
    <w:rsid w:val="004422FD"/>
    <w:rsid w:val="00444E86"/>
    <w:rsid w:val="00445A55"/>
    <w:rsid w:val="0044603A"/>
    <w:rsid w:val="00450E88"/>
    <w:rsid w:val="00451AA6"/>
    <w:rsid w:val="00452309"/>
    <w:rsid w:val="00452FFC"/>
    <w:rsid w:val="004542CF"/>
    <w:rsid w:val="0045792A"/>
    <w:rsid w:val="00461AE1"/>
    <w:rsid w:val="004635FC"/>
    <w:rsid w:val="00464628"/>
    <w:rsid w:val="00467B48"/>
    <w:rsid w:val="00471DD2"/>
    <w:rsid w:val="004729F5"/>
    <w:rsid w:val="0047529E"/>
    <w:rsid w:val="00481665"/>
    <w:rsid w:val="00484585"/>
    <w:rsid w:val="00487F35"/>
    <w:rsid w:val="00490B78"/>
    <w:rsid w:val="004919FC"/>
    <w:rsid w:val="00491C48"/>
    <w:rsid w:val="00493821"/>
    <w:rsid w:val="00493C87"/>
    <w:rsid w:val="00496866"/>
    <w:rsid w:val="004A422E"/>
    <w:rsid w:val="004B21A5"/>
    <w:rsid w:val="004B512D"/>
    <w:rsid w:val="004B5261"/>
    <w:rsid w:val="004B6043"/>
    <w:rsid w:val="004C2CB9"/>
    <w:rsid w:val="004D1564"/>
    <w:rsid w:val="004D26C8"/>
    <w:rsid w:val="004D287F"/>
    <w:rsid w:val="004D4179"/>
    <w:rsid w:val="004D4964"/>
    <w:rsid w:val="004E1A66"/>
    <w:rsid w:val="004E3DC1"/>
    <w:rsid w:val="004E5389"/>
    <w:rsid w:val="004F0141"/>
    <w:rsid w:val="004F029A"/>
    <w:rsid w:val="004F1CEE"/>
    <w:rsid w:val="004F26E5"/>
    <w:rsid w:val="004F5DC4"/>
    <w:rsid w:val="004F63D5"/>
    <w:rsid w:val="00501E49"/>
    <w:rsid w:val="005020BD"/>
    <w:rsid w:val="005021FF"/>
    <w:rsid w:val="0050266E"/>
    <w:rsid w:val="00514E09"/>
    <w:rsid w:val="0052129F"/>
    <w:rsid w:val="00526B45"/>
    <w:rsid w:val="00527768"/>
    <w:rsid w:val="00534E12"/>
    <w:rsid w:val="005409FA"/>
    <w:rsid w:val="005424AC"/>
    <w:rsid w:val="005446F8"/>
    <w:rsid w:val="00546C19"/>
    <w:rsid w:val="0054795B"/>
    <w:rsid w:val="0055356B"/>
    <w:rsid w:val="00554E43"/>
    <w:rsid w:val="00555569"/>
    <w:rsid w:val="00555613"/>
    <w:rsid w:val="00556AE2"/>
    <w:rsid w:val="0055797C"/>
    <w:rsid w:val="00557D94"/>
    <w:rsid w:val="00560267"/>
    <w:rsid w:val="005609A4"/>
    <w:rsid w:val="00574179"/>
    <w:rsid w:val="00574E9A"/>
    <w:rsid w:val="0057614D"/>
    <w:rsid w:val="00576DB9"/>
    <w:rsid w:val="005772ED"/>
    <w:rsid w:val="005835B3"/>
    <w:rsid w:val="0058440F"/>
    <w:rsid w:val="0058485F"/>
    <w:rsid w:val="005856F1"/>
    <w:rsid w:val="00586ECC"/>
    <w:rsid w:val="00590C9E"/>
    <w:rsid w:val="00597967"/>
    <w:rsid w:val="005B0E16"/>
    <w:rsid w:val="005B2497"/>
    <w:rsid w:val="005B484A"/>
    <w:rsid w:val="005B4901"/>
    <w:rsid w:val="005B5B05"/>
    <w:rsid w:val="005B6571"/>
    <w:rsid w:val="005C1328"/>
    <w:rsid w:val="005C39F5"/>
    <w:rsid w:val="005C56CB"/>
    <w:rsid w:val="005D1429"/>
    <w:rsid w:val="005D225F"/>
    <w:rsid w:val="005D7A25"/>
    <w:rsid w:val="005D7B5C"/>
    <w:rsid w:val="005E03C9"/>
    <w:rsid w:val="005E7661"/>
    <w:rsid w:val="005E783A"/>
    <w:rsid w:val="005E7AC1"/>
    <w:rsid w:val="005F0025"/>
    <w:rsid w:val="005F0171"/>
    <w:rsid w:val="005F04B1"/>
    <w:rsid w:val="005F04EB"/>
    <w:rsid w:val="005F33FD"/>
    <w:rsid w:val="005F4BC7"/>
    <w:rsid w:val="005F76F3"/>
    <w:rsid w:val="00600C30"/>
    <w:rsid w:val="0060347A"/>
    <w:rsid w:val="00605538"/>
    <w:rsid w:val="006146AF"/>
    <w:rsid w:val="00615726"/>
    <w:rsid w:val="00616750"/>
    <w:rsid w:val="00620B13"/>
    <w:rsid w:val="006222F1"/>
    <w:rsid w:val="00624FC6"/>
    <w:rsid w:val="00625B39"/>
    <w:rsid w:val="00626E74"/>
    <w:rsid w:val="00627E06"/>
    <w:rsid w:val="006315F1"/>
    <w:rsid w:val="00632757"/>
    <w:rsid w:val="006347C1"/>
    <w:rsid w:val="00635211"/>
    <w:rsid w:val="0063699B"/>
    <w:rsid w:val="00636D07"/>
    <w:rsid w:val="006410D5"/>
    <w:rsid w:val="00642908"/>
    <w:rsid w:val="00643372"/>
    <w:rsid w:val="00647297"/>
    <w:rsid w:val="00652C10"/>
    <w:rsid w:val="00653E84"/>
    <w:rsid w:val="0065616C"/>
    <w:rsid w:val="00660156"/>
    <w:rsid w:val="0066043E"/>
    <w:rsid w:val="006604B7"/>
    <w:rsid w:val="00662624"/>
    <w:rsid w:val="0066293C"/>
    <w:rsid w:val="0066449C"/>
    <w:rsid w:val="00665431"/>
    <w:rsid w:val="00667158"/>
    <w:rsid w:val="006673C8"/>
    <w:rsid w:val="00674EA4"/>
    <w:rsid w:val="006765AE"/>
    <w:rsid w:val="00676680"/>
    <w:rsid w:val="00677D25"/>
    <w:rsid w:val="00681B14"/>
    <w:rsid w:val="0068390E"/>
    <w:rsid w:val="00683E7D"/>
    <w:rsid w:val="006865C2"/>
    <w:rsid w:val="00690747"/>
    <w:rsid w:val="006937AE"/>
    <w:rsid w:val="00695327"/>
    <w:rsid w:val="0069668E"/>
    <w:rsid w:val="00696CC7"/>
    <w:rsid w:val="006A281B"/>
    <w:rsid w:val="006A2CE8"/>
    <w:rsid w:val="006A55A3"/>
    <w:rsid w:val="006B0662"/>
    <w:rsid w:val="006B6366"/>
    <w:rsid w:val="006B65BE"/>
    <w:rsid w:val="006C2EE0"/>
    <w:rsid w:val="006C461E"/>
    <w:rsid w:val="006C71D9"/>
    <w:rsid w:val="006C7B03"/>
    <w:rsid w:val="006C7CBD"/>
    <w:rsid w:val="006D07C1"/>
    <w:rsid w:val="006D29DA"/>
    <w:rsid w:val="006D6452"/>
    <w:rsid w:val="006D7360"/>
    <w:rsid w:val="006D7B0B"/>
    <w:rsid w:val="006D7E5C"/>
    <w:rsid w:val="006E0B12"/>
    <w:rsid w:val="006E0FE8"/>
    <w:rsid w:val="006F0D6B"/>
    <w:rsid w:val="006F4103"/>
    <w:rsid w:val="006F4B3C"/>
    <w:rsid w:val="007074A9"/>
    <w:rsid w:val="00713BB3"/>
    <w:rsid w:val="00714673"/>
    <w:rsid w:val="007150B8"/>
    <w:rsid w:val="007150CB"/>
    <w:rsid w:val="00721865"/>
    <w:rsid w:val="007220FC"/>
    <w:rsid w:val="0072261F"/>
    <w:rsid w:val="00723C7D"/>
    <w:rsid w:val="00727A1C"/>
    <w:rsid w:val="007308E5"/>
    <w:rsid w:val="007327A2"/>
    <w:rsid w:val="00733849"/>
    <w:rsid w:val="007352BA"/>
    <w:rsid w:val="00735C81"/>
    <w:rsid w:val="00742F77"/>
    <w:rsid w:val="0074332B"/>
    <w:rsid w:val="00751F99"/>
    <w:rsid w:val="00763C45"/>
    <w:rsid w:val="00763F2E"/>
    <w:rsid w:val="00765A61"/>
    <w:rsid w:val="00766998"/>
    <w:rsid w:val="007730AB"/>
    <w:rsid w:val="00777AED"/>
    <w:rsid w:val="00782A2E"/>
    <w:rsid w:val="0078332E"/>
    <w:rsid w:val="00785ABE"/>
    <w:rsid w:val="00787DAA"/>
    <w:rsid w:val="00792A39"/>
    <w:rsid w:val="00796A06"/>
    <w:rsid w:val="007A199B"/>
    <w:rsid w:val="007A4FFB"/>
    <w:rsid w:val="007A5154"/>
    <w:rsid w:val="007B124F"/>
    <w:rsid w:val="007B59FC"/>
    <w:rsid w:val="007B5C74"/>
    <w:rsid w:val="007B663C"/>
    <w:rsid w:val="007C0AC0"/>
    <w:rsid w:val="007C449A"/>
    <w:rsid w:val="007D13CB"/>
    <w:rsid w:val="007D2038"/>
    <w:rsid w:val="007D5232"/>
    <w:rsid w:val="007D7779"/>
    <w:rsid w:val="007D7FE8"/>
    <w:rsid w:val="007E731F"/>
    <w:rsid w:val="007F0900"/>
    <w:rsid w:val="007F1825"/>
    <w:rsid w:val="007F3FA3"/>
    <w:rsid w:val="00802876"/>
    <w:rsid w:val="00802B39"/>
    <w:rsid w:val="008072AA"/>
    <w:rsid w:val="0080733B"/>
    <w:rsid w:val="00807648"/>
    <w:rsid w:val="00807CFE"/>
    <w:rsid w:val="00811846"/>
    <w:rsid w:val="00812711"/>
    <w:rsid w:val="00821DF9"/>
    <w:rsid w:val="008224A9"/>
    <w:rsid w:val="00822921"/>
    <w:rsid w:val="00824972"/>
    <w:rsid w:val="00824F4D"/>
    <w:rsid w:val="00830A29"/>
    <w:rsid w:val="0083129A"/>
    <w:rsid w:val="00831524"/>
    <w:rsid w:val="00832E54"/>
    <w:rsid w:val="008355A4"/>
    <w:rsid w:val="0084196E"/>
    <w:rsid w:val="008442C7"/>
    <w:rsid w:val="00847BDD"/>
    <w:rsid w:val="00853BBC"/>
    <w:rsid w:val="0085611B"/>
    <w:rsid w:val="0085675C"/>
    <w:rsid w:val="00860E7D"/>
    <w:rsid w:val="00861D56"/>
    <w:rsid w:val="0086278A"/>
    <w:rsid w:val="00866E56"/>
    <w:rsid w:val="00872257"/>
    <w:rsid w:val="00872FE2"/>
    <w:rsid w:val="00875464"/>
    <w:rsid w:val="00876224"/>
    <w:rsid w:val="00880C55"/>
    <w:rsid w:val="00881691"/>
    <w:rsid w:val="0088564B"/>
    <w:rsid w:val="00886B4C"/>
    <w:rsid w:val="0089074B"/>
    <w:rsid w:val="008918D6"/>
    <w:rsid w:val="0089568A"/>
    <w:rsid w:val="00897487"/>
    <w:rsid w:val="00897951"/>
    <w:rsid w:val="008A26E8"/>
    <w:rsid w:val="008A2CE7"/>
    <w:rsid w:val="008A3FE1"/>
    <w:rsid w:val="008A67B8"/>
    <w:rsid w:val="008A6B69"/>
    <w:rsid w:val="008A777B"/>
    <w:rsid w:val="008B03A3"/>
    <w:rsid w:val="008B1B70"/>
    <w:rsid w:val="008B21D4"/>
    <w:rsid w:val="008B44F2"/>
    <w:rsid w:val="008C4793"/>
    <w:rsid w:val="008C53A8"/>
    <w:rsid w:val="008C5E01"/>
    <w:rsid w:val="008D1D12"/>
    <w:rsid w:val="008D3096"/>
    <w:rsid w:val="008D432D"/>
    <w:rsid w:val="008D4731"/>
    <w:rsid w:val="008D6077"/>
    <w:rsid w:val="008E1B00"/>
    <w:rsid w:val="008E43F5"/>
    <w:rsid w:val="008E54A7"/>
    <w:rsid w:val="008E5C9D"/>
    <w:rsid w:val="008F576D"/>
    <w:rsid w:val="008F6A3E"/>
    <w:rsid w:val="008F6B21"/>
    <w:rsid w:val="009024DB"/>
    <w:rsid w:val="00905B74"/>
    <w:rsid w:val="00910C1C"/>
    <w:rsid w:val="009113B0"/>
    <w:rsid w:val="00914A27"/>
    <w:rsid w:val="0092094D"/>
    <w:rsid w:val="00920963"/>
    <w:rsid w:val="00920D67"/>
    <w:rsid w:val="00921D72"/>
    <w:rsid w:val="009230C2"/>
    <w:rsid w:val="00923D71"/>
    <w:rsid w:val="00924A13"/>
    <w:rsid w:val="009264FB"/>
    <w:rsid w:val="00930CBD"/>
    <w:rsid w:val="00931D25"/>
    <w:rsid w:val="00932A37"/>
    <w:rsid w:val="009354C5"/>
    <w:rsid w:val="00935B3E"/>
    <w:rsid w:val="009375C0"/>
    <w:rsid w:val="009407CE"/>
    <w:rsid w:val="009447C3"/>
    <w:rsid w:val="0094510A"/>
    <w:rsid w:val="00946F6B"/>
    <w:rsid w:val="00950A89"/>
    <w:rsid w:val="00953B9B"/>
    <w:rsid w:val="009550D6"/>
    <w:rsid w:val="00955E97"/>
    <w:rsid w:val="0096307D"/>
    <w:rsid w:val="00964E65"/>
    <w:rsid w:val="00966AC7"/>
    <w:rsid w:val="00970D9A"/>
    <w:rsid w:val="009728EF"/>
    <w:rsid w:val="0097352F"/>
    <w:rsid w:val="009817E2"/>
    <w:rsid w:val="00982FDF"/>
    <w:rsid w:val="0098434C"/>
    <w:rsid w:val="0098556A"/>
    <w:rsid w:val="0098583D"/>
    <w:rsid w:val="009941D8"/>
    <w:rsid w:val="00996A4F"/>
    <w:rsid w:val="009A19B2"/>
    <w:rsid w:val="009A3390"/>
    <w:rsid w:val="009B1897"/>
    <w:rsid w:val="009B54E5"/>
    <w:rsid w:val="009B5B59"/>
    <w:rsid w:val="009B6833"/>
    <w:rsid w:val="009B7AB8"/>
    <w:rsid w:val="009C113B"/>
    <w:rsid w:val="009C13EA"/>
    <w:rsid w:val="009C181C"/>
    <w:rsid w:val="009C1C68"/>
    <w:rsid w:val="009C37B7"/>
    <w:rsid w:val="009C3B2D"/>
    <w:rsid w:val="009C3F61"/>
    <w:rsid w:val="009C5607"/>
    <w:rsid w:val="009C719F"/>
    <w:rsid w:val="009D05B2"/>
    <w:rsid w:val="009D3EF0"/>
    <w:rsid w:val="009D47BB"/>
    <w:rsid w:val="009D505C"/>
    <w:rsid w:val="009D510B"/>
    <w:rsid w:val="009D67F4"/>
    <w:rsid w:val="009E6BBA"/>
    <w:rsid w:val="009F0258"/>
    <w:rsid w:val="009F16BB"/>
    <w:rsid w:val="009F482A"/>
    <w:rsid w:val="00A02774"/>
    <w:rsid w:val="00A07551"/>
    <w:rsid w:val="00A07FE2"/>
    <w:rsid w:val="00A159DE"/>
    <w:rsid w:val="00A17E32"/>
    <w:rsid w:val="00A2231C"/>
    <w:rsid w:val="00A23074"/>
    <w:rsid w:val="00A236F9"/>
    <w:rsid w:val="00A25027"/>
    <w:rsid w:val="00A2661B"/>
    <w:rsid w:val="00A32916"/>
    <w:rsid w:val="00A337D2"/>
    <w:rsid w:val="00A3466C"/>
    <w:rsid w:val="00A364C8"/>
    <w:rsid w:val="00A36E75"/>
    <w:rsid w:val="00A40318"/>
    <w:rsid w:val="00A4237A"/>
    <w:rsid w:val="00A423C4"/>
    <w:rsid w:val="00A439AE"/>
    <w:rsid w:val="00A43C2D"/>
    <w:rsid w:val="00A46D90"/>
    <w:rsid w:val="00A47867"/>
    <w:rsid w:val="00A47CDE"/>
    <w:rsid w:val="00A50F3A"/>
    <w:rsid w:val="00A60BF4"/>
    <w:rsid w:val="00A62DA3"/>
    <w:rsid w:val="00A650C7"/>
    <w:rsid w:val="00A701DE"/>
    <w:rsid w:val="00A71652"/>
    <w:rsid w:val="00A73055"/>
    <w:rsid w:val="00A74C18"/>
    <w:rsid w:val="00A8117F"/>
    <w:rsid w:val="00A81908"/>
    <w:rsid w:val="00A81C3F"/>
    <w:rsid w:val="00A81CCB"/>
    <w:rsid w:val="00A84B7B"/>
    <w:rsid w:val="00A85212"/>
    <w:rsid w:val="00A86B72"/>
    <w:rsid w:val="00A9105B"/>
    <w:rsid w:val="00A91737"/>
    <w:rsid w:val="00A923C6"/>
    <w:rsid w:val="00A928F3"/>
    <w:rsid w:val="00A92FC0"/>
    <w:rsid w:val="00A96710"/>
    <w:rsid w:val="00A969AF"/>
    <w:rsid w:val="00A979DA"/>
    <w:rsid w:val="00A97A1C"/>
    <w:rsid w:val="00AA66E1"/>
    <w:rsid w:val="00AB189A"/>
    <w:rsid w:val="00AB5DE8"/>
    <w:rsid w:val="00AB5F13"/>
    <w:rsid w:val="00AC0252"/>
    <w:rsid w:val="00AD008A"/>
    <w:rsid w:val="00AD2BD2"/>
    <w:rsid w:val="00AD38B7"/>
    <w:rsid w:val="00AD4B64"/>
    <w:rsid w:val="00AE168D"/>
    <w:rsid w:val="00AE1C19"/>
    <w:rsid w:val="00AE25E2"/>
    <w:rsid w:val="00AE45ED"/>
    <w:rsid w:val="00AE58C5"/>
    <w:rsid w:val="00AF4EF6"/>
    <w:rsid w:val="00B0082A"/>
    <w:rsid w:val="00B01119"/>
    <w:rsid w:val="00B01F07"/>
    <w:rsid w:val="00B03178"/>
    <w:rsid w:val="00B03739"/>
    <w:rsid w:val="00B04D2C"/>
    <w:rsid w:val="00B04E77"/>
    <w:rsid w:val="00B0645A"/>
    <w:rsid w:val="00B10559"/>
    <w:rsid w:val="00B13D12"/>
    <w:rsid w:val="00B13FF7"/>
    <w:rsid w:val="00B1415C"/>
    <w:rsid w:val="00B23BE6"/>
    <w:rsid w:val="00B24877"/>
    <w:rsid w:val="00B2525B"/>
    <w:rsid w:val="00B30B60"/>
    <w:rsid w:val="00B32987"/>
    <w:rsid w:val="00B32BBE"/>
    <w:rsid w:val="00B3326C"/>
    <w:rsid w:val="00B3389D"/>
    <w:rsid w:val="00B338BD"/>
    <w:rsid w:val="00B3398E"/>
    <w:rsid w:val="00B33C22"/>
    <w:rsid w:val="00B33F2D"/>
    <w:rsid w:val="00B34033"/>
    <w:rsid w:val="00B34167"/>
    <w:rsid w:val="00B35869"/>
    <w:rsid w:val="00B42033"/>
    <w:rsid w:val="00B421C2"/>
    <w:rsid w:val="00B45604"/>
    <w:rsid w:val="00B50DF0"/>
    <w:rsid w:val="00B51228"/>
    <w:rsid w:val="00B51632"/>
    <w:rsid w:val="00B557D5"/>
    <w:rsid w:val="00B55D4C"/>
    <w:rsid w:val="00B56396"/>
    <w:rsid w:val="00B577AC"/>
    <w:rsid w:val="00B5795E"/>
    <w:rsid w:val="00B61CA0"/>
    <w:rsid w:val="00B64055"/>
    <w:rsid w:val="00B64056"/>
    <w:rsid w:val="00B65749"/>
    <w:rsid w:val="00B674B2"/>
    <w:rsid w:val="00B675DD"/>
    <w:rsid w:val="00B746AF"/>
    <w:rsid w:val="00B74ED8"/>
    <w:rsid w:val="00B81EB1"/>
    <w:rsid w:val="00B82851"/>
    <w:rsid w:val="00B967FA"/>
    <w:rsid w:val="00BA14AC"/>
    <w:rsid w:val="00BA307B"/>
    <w:rsid w:val="00BA4071"/>
    <w:rsid w:val="00BA642C"/>
    <w:rsid w:val="00BB042D"/>
    <w:rsid w:val="00BB17A8"/>
    <w:rsid w:val="00BB5342"/>
    <w:rsid w:val="00BB554E"/>
    <w:rsid w:val="00BB702C"/>
    <w:rsid w:val="00BB7120"/>
    <w:rsid w:val="00BC0354"/>
    <w:rsid w:val="00BC319D"/>
    <w:rsid w:val="00BC3CB5"/>
    <w:rsid w:val="00BC5938"/>
    <w:rsid w:val="00BC7A53"/>
    <w:rsid w:val="00BC7DF0"/>
    <w:rsid w:val="00BD052B"/>
    <w:rsid w:val="00BD4727"/>
    <w:rsid w:val="00BD4917"/>
    <w:rsid w:val="00BD54A8"/>
    <w:rsid w:val="00BD65DF"/>
    <w:rsid w:val="00BE0F40"/>
    <w:rsid w:val="00BE2A6C"/>
    <w:rsid w:val="00BE346D"/>
    <w:rsid w:val="00BE4237"/>
    <w:rsid w:val="00BE5923"/>
    <w:rsid w:val="00BF0790"/>
    <w:rsid w:val="00BF337B"/>
    <w:rsid w:val="00BF421D"/>
    <w:rsid w:val="00BF62FB"/>
    <w:rsid w:val="00C00984"/>
    <w:rsid w:val="00C11573"/>
    <w:rsid w:val="00C158F8"/>
    <w:rsid w:val="00C17668"/>
    <w:rsid w:val="00C21CFB"/>
    <w:rsid w:val="00C25959"/>
    <w:rsid w:val="00C30BC7"/>
    <w:rsid w:val="00C415FE"/>
    <w:rsid w:val="00C42E70"/>
    <w:rsid w:val="00C42EB4"/>
    <w:rsid w:val="00C43C43"/>
    <w:rsid w:val="00C46959"/>
    <w:rsid w:val="00C50378"/>
    <w:rsid w:val="00C5305D"/>
    <w:rsid w:val="00C543CF"/>
    <w:rsid w:val="00C550C8"/>
    <w:rsid w:val="00C57728"/>
    <w:rsid w:val="00C5795F"/>
    <w:rsid w:val="00C65BA7"/>
    <w:rsid w:val="00C66C97"/>
    <w:rsid w:val="00C707D3"/>
    <w:rsid w:val="00C74F0E"/>
    <w:rsid w:val="00C8428D"/>
    <w:rsid w:val="00C874BE"/>
    <w:rsid w:val="00C87541"/>
    <w:rsid w:val="00C92CC8"/>
    <w:rsid w:val="00C9392F"/>
    <w:rsid w:val="00C947F6"/>
    <w:rsid w:val="00C9584B"/>
    <w:rsid w:val="00C96E63"/>
    <w:rsid w:val="00CA0189"/>
    <w:rsid w:val="00CA1106"/>
    <w:rsid w:val="00CA34E2"/>
    <w:rsid w:val="00CA4A6C"/>
    <w:rsid w:val="00CB1372"/>
    <w:rsid w:val="00CB1747"/>
    <w:rsid w:val="00CB2037"/>
    <w:rsid w:val="00CB40DD"/>
    <w:rsid w:val="00CB4CEC"/>
    <w:rsid w:val="00CB54C3"/>
    <w:rsid w:val="00CB6BC0"/>
    <w:rsid w:val="00CC2434"/>
    <w:rsid w:val="00CC3AB8"/>
    <w:rsid w:val="00CC42ED"/>
    <w:rsid w:val="00CC4E54"/>
    <w:rsid w:val="00CD0938"/>
    <w:rsid w:val="00CD376E"/>
    <w:rsid w:val="00CD59EC"/>
    <w:rsid w:val="00CE11F2"/>
    <w:rsid w:val="00CE144C"/>
    <w:rsid w:val="00CE3323"/>
    <w:rsid w:val="00CE4EAF"/>
    <w:rsid w:val="00CE6115"/>
    <w:rsid w:val="00CF1F1C"/>
    <w:rsid w:val="00CF2369"/>
    <w:rsid w:val="00CF4C70"/>
    <w:rsid w:val="00D0009A"/>
    <w:rsid w:val="00D002FA"/>
    <w:rsid w:val="00D00B8E"/>
    <w:rsid w:val="00D03983"/>
    <w:rsid w:val="00D07A79"/>
    <w:rsid w:val="00D10995"/>
    <w:rsid w:val="00D1129F"/>
    <w:rsid w:val="00D12F97"/>
    <w:rsid w:val="00D15DE0"/>
    <w:rsid w:val="00D1612E"/>
    <w:rsid w:val="00D20048"/>
    <w:rsid w:val="00D2172A"/>
    <w:rsid w:val="00D21B96"/>
    <w:rsid w:val="00D24ED2"/>
    <w:rsid w:val="00D25C24"/>
    <w:rsid w:val="00D318BB"/>
    <w:rsid w:val="00D336ED"/>
    <w:rsid w:val="00D4003B"/>
    <w:rsid w:val="00D40B74"/>
    <w:rsid w:val="00D43043"/>
    <w:rsid w:val="00D44106"/>
    <w:rsid w:val="00D44215"/>
    <w:rsid w:val="00D44549"/>
    <w:rsid w:val="00D4748B"/>
    <w:rsid w:val="00D47DF0"/>
    <w:rsid w:val="00D537A2"/>
    <w:rsid w:val="00D552A0"/>
    <w:rsid w:val="00D5728A"/>
    <w:rsid w:val="00D57F4E"/>
    <w:rsid w:val="00D654FC"/>
    <w:rsid w:val="00D657D0"/>
    <w:rsid w:val="00D670E8"/>
    <w:rsid w:val="00D6761D"/>
    <w:rsid w:val="00D67C13"/>
    <w:rsid w:val="00D70EF5"/>
    <w:rsid w:val="00D70FA2"/>
    <w:rsid w:val="00D71808"/>
    <w:rsid w:val="00D73960"/>
    <w:rsid w:val="00D748E1"/>
    <w:rsid w:val="00D804F2"/>
    <w:rsid w:val="00D91D22"/>
    <w:rsid w:val="00D93915"/>
    <w:rsid w:val="00DA04B2"/>
    <w:rsid w:val="00DA0819"/>
    <w:rsid w:val="00DA0AAF"/>
    <w:rsid w:val="00DA0E0C"/>
    <w:rsid w:val="00DA0EA8"/>
    <w:rsid w:val="00DA1ABA"/>
    <w:rsid w:val="00DA381D"/>
    <w:rsid w:val="00DB783F"/>
    <w:rsid w:val="00DB7CB1"/>
    <w:rsid w:val="00DC07C1"/>
    <w:rsid w:val="00DC0F5F"/>
    <w:rsid w:val="00DC1D08"/>
    <w:rsid w:val="00DC303E"/>
    <w:rsid w:val="00DD1A2F"/>
    <w:rsid w:val="00DD49DB"/>
    <w:rsid w:val="00DD4BD8"/>
    <w:rsid w:val="00DD6C77"/>
    <w:rsid w:val="00DE03D1"/>
    <w:rsid w:val="00DE11D5"/>
    <w:rsid w:val="00DE23CD"/>
    <w:rsid w:val="00DE4D3A"/>
    <w:rsid w:val="00DE56F1"/>
    <w:rsid w:val="00DE65E3"/>
    <w:rsid w:val="00DE6601"/>
    <w:rsid w:val="00DE6CCE"/>
    <w:rsid w:val="00DE6D1C"/>
    <w:rsid w:val="00DE7E5F"/>
    <w:rsid w:val="00DF04E6"/>
    <w:rsid w:val="00DF635E"/>
    <w:rsid w:val="00E00F90"/>
    <w:rsid w:val="00E012D8"/>
    <w:rsid w:val="00E016F3"/>
    <w:rsid w:val="00E01BB4"/>
    <w:rsid w:val="00E0456E"/>
    <w:rsid w:val="00E04C73"/>
    <w:rsid w:val="00E06741"/>
    <w:rsid w:val="00E13490"/>
    <w:rsid w:val="00E1417C"/>
    <w:rsid w:val="00E14C58"/>
    <w:rsid w:val="00E14DB7"/>
    <w:rsid w:val="00E14E0F"/>
    <w:rsid w:val="00E152D4"/>
    <w:rsid w:val="00E22F85"/>
    <w:rsid w:val="00E25E4F"/>
    <w:rsid w:val="00E266AC"/>
    <w:rsid w:val="00E270D5"/>
    <w:rsid w:val="00E271E2"/>
    <w:rsid w:val="00E31288"/>
    <w:rsid w:val="00E32177"/>
    <w:rsid w:val="00E32DAD"/>
    <w:rsid w:val="00E33AD0"/>
    <w:rsid w:val="00E340A9"/>
    <w:rsid w:val="00E356A1"/>
    <w:rsid w:val="00E3578B"/>
    <w:rsid w:val="00E35B49"/>
    <w:rsid w:val="00E36529"/>
    <w:rsid w:val="00E4354E"/>
    <w:rsid w:val="00E458B8"/>
    <w:rsid w:val="00E47CFC"/>
    <w:rsid w:val="00E5296C"/>
    <w:rsid w:val="00E52E5D"/>
    <w:rsid w:val="00E53731"/>
    <w:rsid w:val="00E53A0C"/>
    <w:rsid w:val="00E55161"/>
    <w:rsid w:val="00E564BC"/>
    <w:rsid w:val="00E57AFB"/>
    <w:rsid w:val="00E601E7"/>
    <w:rsid w:val="00E60516"/>
    <w:rsid w:val="00E6394B"/>
    <w:rsid w:val="00E63FDA"/>
    <w:rsid w:val="00E66782"/>
    <w:rsid w:val="00E80AAF"/>
    <w:rsid w:val="00E818F8"/>
    <w:rsid w:val="00E86F0E"/>
    <w:rsid w:val="00E9156F"/>
    <w:rsid w:val="00E928F9"/>
    <w:rsid w:val="00E94BBB"/>
    <w:rsid w:val="00E96674"/>
    <w:rsid w:val="00EA3677"/>
    <w:rsid w:val="00EA3BF1"/>
    <w:rsid w:val="00EA4EE5"/>
    <w:rsid w:val="00EA52D7"/>
    <w:rsid w:val="00EA58B6"/>
    <w:rsid w:val="00EA5D5E"/>
    <w:rsid w:val="00EB05EE"/>
    <w:rsid w:val="00EB1C84"/>
    <w:rsid w:val="00EB1E41"/>
    <w:rsid w:val="00EB3969"/>
    <w:rsid w:val="00EB4554"/>
    <w:rsid w:val="00EB58A6"/>
    <w:rsid w:val="00EB6BDC"/>
    <w:rsid w:val="00EB728D"/>
    <w:rsid w:val="00EC31A5"/>
    <w:rsid w:val="00EC4351"/>
    <w:rsid w:val="00EC4A70"/>
    <w:rsid w:val="00EC4AA9"/>
    <w:rsid w:val="00EC6132"/>
    <w:rsid w:val="00EE0148"/>
    <w:rsid w:val="00EE0D50"/>
    <w:rsid w:val="00EE2C5E"/>
    <w:rsid w:val="00EF00F9"/>
    <w:rsid w:val="00EF28BE"/>
    <w:rsid w:val="00EF2CB1"/>
    <w:rsid w:val="00EF3F0A"/>
    <w:rsid w:val="00EF76D8"/>
    <w:rsid w:val="00F00643"/>
    <w:rsid w:val="00F00888"/>
    <w:rsid w:val="00F03373"/>
    <w:rsid w:val="00F038A9"/>
    <w:rsid w:val="00F03AB6"/>
    <w:rsid w:val="00F03D1B"/>
    <w:rsid w:val="00F04A38"/>
    <w:rsid w:val="00F07B41"/>
    <w:rsid w:val="00F109F7"/>
    <w:rsid w:val="00F1177C"/>
    <w:rsid w:val="00F15755"/>
    <w:rsid w:val="00F2027A"/>
    <w:rsid w:val="00F22A4E"/>
    <w:rsid w:val="00F3007A"/>
    <w:rsid w:val="00F32D71"/>
    <w:rsid w:val="00F35FE5"/>
    <w:rsid w:val="00F36C8E"/>
    <w:rsid w:val="00F370E4"/>
    <w:rsid w:val="00F412CD"/>
    <w:rsid w:val="00F41B64"/>
    <w:rsid w:val="00F42D03"/>
    <w:rsid w:val="00F42DCD"/>
    <w:rsid w:val="00F45906"/>
    <w:rsid w:val="00F45AA2"/>
    <w:rsid w:val="00F46BD8"/>
    <w:rsid w:val="00F5040D"/>
    <w:rsid w:val="00F5365F"/>
    <w:rsid w:val="00F60608"/>
    <w:rsid w:val="00F656D6"/>
    <w:rsid w:val="00F71332"/>
    <w:rsid w:val="00F7160F"/>
    <w:rsid w:val="00F71773"/>
    <w:rsid w:val="00F74E39"/>
    <w:rsid w:val="00F75720"/>
    <w:rsid w:val="00F763D7"/>
    <w:rsid w:val="00F8121B"/>
    <w:rsid w:val="00F8477C"/>
    <w:rsid w:val="00F85381"/>
    <w:rsid w:val="00F87A14"/>
    <w:rsid w:val="00F919A4"/>
    <w:rsid w:val="00F965A5"/>
    <w:rsid w:val="00FA1EAD"/>
    <w:rsid w:val="00FA1FF8"/>
    <w:rsid w:val="00FA27B5"/>
    <w:rsid w:val="00FA363B"/>
    <w:rsid w:val="00FA463C"/>
    <w:rsid w:val="00FB632B"/>
    <w:rsid w:val="00FB6A63"/>
    <w:rsid w:val="00FC3FD5"/>
    <w:rsid w:val="00FE2D19"/>
    <w:rsid w:val="00FE46E1"/>
    <w:rsid w:val="00FE594E"/>
    <w:rsid w:val="00FE5CB4"/>
    <w:rsid w:val="00FE630B"/>
    <w:rsid w:val="00FE6424"/>
    <w:rsid w:val="00FE7224"/>
    <w:rsid w:val="00FE7DBC"/>
    <w:rsid w:val="00FF08B7"/>
    <w:rsid w:val="00FF14D4"/>
    <w:rsid w:val="00FF1910"/>
    <w:rsid w:val="00FF2DD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E388F2A"/>
  <w15:chartTrackingRefBased/>
  <w15:docId w15:val="{173AD433-26E9-497E-827B-CBC4688C6B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529D8"/>
    <w:pPr>
      <w:spacing w:after="160" w:line="259" w:lineRule="auto"/>
    </w:pPr>
    <w:rPr>
      <w:kern w:val="2"/>
      <w:sz w:val="22"/>
      <w:szCs w:val="22"/>
      <w:lang w:eastAsia="en-US"/>
    </w:rPr>
  </w:style>
  <w:style w:type="paragraph" w:styleId="Ttulo1">
    <w:name w:val="heading 1"/>
    <w:basedOn w:val="Normal"/>
    <w:next w:val="Normal"/>
    <w:link w:val="Ttulo1Car"/>
    <w:uiPriority w:val="9"/>
    <w:qFormat/>
    <w:rsid w:val="00461AE1"/>
    <w:pPr>
      <w:keepNext/>
      <w:keepLines/>
      <w:spacing w:before="240" w:after="0"/>
      <w:outlineLvl w:val="0"/>
    </w:pPr>
    <w:rPr>
      <w:rFonts w:ascii="Calibri Light" w:eastAsia="Times New Roman" w:hAnsi="Calibri Light"/>
      <w:color w:val="2F5496"/>
      <w:sz w:val="32"/>
      <w:szCs w:val="32"/>
    </w:rPr>
  </w:style>
  <w:style w:type="paragraph" w:styleId="Ttulo2">
    <w:name w:val="heading 2"/>
    <w:basedOn w:val="Normal"/>
    <w:next w:val="Normal"/>
    <w:link w:val="Ttulo2Car"/>
    <w:uiPriority w:val="9"/>
    <w:semiHidden/>
    <w:unhideWhenUsed/>
    <w:qFormat/>
    <w:rsid w:val="007D13C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link w:val="SinespaciadoCar"/>
    <w:uiPriority w:val="1"/>
    <w:qFormat/>
    <w:rsid w:val="002E4A19"/>
    <w:rPr>
      <w:rFonts w:eastAsia="Times New Roman"/>
      <w:sz w:val="22"/>
      <w:szCs w:val="22"/>
    </w:rPr>
  </w:style>
  <w:style w:type="character" w:customStyle="1" w:styleId="SinespaciadoCar">
    <w:name w:val="Sin espaciado Car"/>
    <w:link w:val="Sinespaciado"/>
    <w:uiPriority w:val="1"/>
    <w:rsid w:val="002E4A19"/>
    <w:rPr>
      <w:rFonts w:eastAsia="Times New Roman"/>
      <w:kern w:val="0"/>
      <w:lang w:eastAsia="es-CO"/>
    </w:rPr>
  </w:style>
  <w:style w:type="character" w:customStyle="1" w:styleId="Ttulo1Car">
    <w:name w:val="Título 1 Car"/>
    <w:link w:val="Ttulo1"/>
    <w:uiPriority w:val="9"/>
    <w:rsid w:val="00461AE1"/>
    <w:rPr>
      <w:rFonts w:ascii="Calibri Light" w:eastAsia="Times New Roman" w:hAnsi="Calibri Light" w:cs="Times New Roman"/>
      <w:color w:val="2F5496"/>
      <w:sz w:val="32"/>
      <w:szCs w:val="32"/>
    </w:rPr>
  </w:style>
  <w:style w:type="paragraph" w:styleId="TtuloTDC">
    <w:name w:val="TOC Heading"/>
    <w:basedOn w:val="Ttulo1"/>
    <w:next w:val="Normal"/>
    <w:uiPriority w:val="39"/>
    <w:unhideWhenUsed/>
    <w:qFormat/>
    <w:rsid w:val="00461AE1"/>
    <w:pPr>
      <w:outlineLvl w:val="9"/>
    </w:pPr>
    <w:rPr>
      <w:kern w:val="0"/>
      <w:lang w:eastAsia="es-CO"/>
    </w:rPr>
  </w:style>
  <w:style w:type="character" w:styleId="Hipervnculo">
    <w:name w:val="Hyperlink"/>
    <w:uiPriority w:val="99"/>
    <w:unhideWhenUsed/>
    <w:rsid w:val="00620B13"/>
    <w:rPr>
      <w:color w:val="0563C1"/>
      <w:u w:val="single"/>
    </w:rPr>
  </w:style>
  <w:style w:type="character" w:customStyle="1" w:styleId="Mencinsinresolver1">
    <w:name w:val="Mención sin resolver1"/>
    <w:uiPriority w:val="99"/>
    <w:semiHidden/>
    <w:unhideWhenUsed/>
    <w:rsid w:val="00620B13"/>
    <w:rPr>
      <w:color w:val="605E5C"/>
      <w:shd w:val="clear" w:color="auto" w:fill="E1DFDD"/>
    </w:rPr>
  </w:style>
  <w:style w:type="paragraph" w:styleId="Encabezado">
    <w:name w:val="header"/>
    <w:basedOn w:val="Normal"/>
    <w:link w:val="EncabezadoCar"/>
    <w:uiPriority w:val="99"/>
    <w:unhideWhenUsed/>
    <w:rsid w:val="00683E7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83E7D"/>
  </w:style>
  <w:style w:type="paragraph" w:styleId="Piedepgina">
    <w:name w:val="footer"/>
    <w:basedOn w:val="Normal"/>
    <w:link w:val="PiedepginaCar"/>
    <w:uiPriority w:val="99"/>
    <w:unhideWhenUsed/>
    <w:rsid w:val="00683E7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83E7D"/>
  </w:style>
  <w:style w:type="character" w:styleId="Hipervnculovisitado">
    <w:name w:val="FollowedHyperlink"/>
    <w:uiPriority w:val="99"/>
    <w:semiHidden/>
    <w:unhideWhenUsed/>
    <w:rsid w:val="00382D16"/>
    <w:rPr>
      <w:color w:val="954F72"/>
      <w:u w:val="single"/>
    </w:rPr>
  </w:style>
  <w:style w:type="table" w:styleId="Tablaconcuadrcula">
    <w:name w:val="Table Grid"/>
    <w:basedOn w:val="Tablanormal"/>
    <w:uiPriority w:val="39"/>
    <w:rsid w:val="000D1F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normal2">
    <w:name w:val="Plain Table 2"/>
    <w:basedOn w:val="Tablanormal"/>
    <w:uiPriority w:val="42"/>
    <w:rsid w:val="000D1F3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Prrafodelista">
    <w:name w:val="List Paragraph"/>
    <w:basedOn w:val="Normal"/>
    <w:uiPriority w:val="34"/>
    <w:qFormat/>
    <w:rsid w:val="00DA381D"/>
    <w:pPr>
      <w:ind w:left="720"/>
      <w:contextualSpacing/>
    </w:pPr>
  </w:style>
  <w:style w:type="character" w:customStyle="1" w:styleId="Ttulo2Car">
    <w:name w:val="Título 2 Car"/>
    <w:basedOn w:val="Fuentedeprrafopredeter"/>
    <w:link w:val="Ttulo2"/>
    <w:uiPriority w:val="9"/>
    <w:semiHidden/>
    <w:rsid w:val="007D13CB"/>
    <w:rPr>
      <w:rFonts w:asciiTheme="majorHAnsi" w:eastAsiaTheme="majorEastAsia" w:hAnsiTheme="majorHAnsi" w:cstheme="majorBidi"/>
      <w:color w:val="2F5496" w:themeColor="accent1" w:themeShade="BF"/>
      <w:kern w:val="2"/>
      <w:sz w:val="26"/>
      <w:szCs w:val="26"/>
      <w:lang w:eastAsia="en-US"/>
    </w:rPr>
  </w:style>
  <w:style w:type="table" w:styleId="Tablanormal4">
    <w:name w:val="Plain Table 4"/>
    <w:basedOn w:val="Tablanormal"/>
    <w:uiPriority w:val="44"/>
    <w:rsid w:val="00A97A1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Refdecomentario">
    <w:name w:val="annotation reference"/>
    <w:basedOn w:val="Fuentedeprrafopredeter"/>
    <w:uiPriority w:val="99"/>
    <w:semiHidden/>
    <w:unhideWhenUsed/>
    <w:rsid w:val="00CE144C"/>
    <w:rPr>
      <w:sz w:val="16"/>
      <w:szCs w:val="16"/>
    </w:rPr>
  </w:style>
  <w:style w:type="paragraph" w:styleId="Textocomentario">
    <w:name w:val="annotation text"/>
    <w:basedOn w:val="Normal"/>
    <w:link w:val="TextocomentarioCar"/>
    <w:uiPriority w:val="99"/>
    <w:semiHidden/>
    <w:unhideWhenUsed/>
    <w:rsid w:val="00CE144C"/>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CE144C"/>
    <w:rPr>
      <w:kern w:val="2"/>
      <w:lang w:eastAsia="en-US"/>
    </w:rPr>
  </w:style>
  <w:style w:type="paragraph" w:styleId="Asuntodelcomentario">
    <w:name w:val="annotation subject"/>
    <w:basedOn w:val="Textocomentario"/>
    <w:next w:val="Textocomentario"/>
    <w:link w:val="AsuntodelcomentarioCar"/>
    <w:uiPriority w:val="99"/>
    <w:semiHidden/>
    <w:unhideWhenUsed/>
    <w:rsid w:val="00CE144C"/>
    <w:rPr>
      <w:b/>
      <w:bCs/>
    </w:rPr>
  </w:style>
  <w:style w:type="character" w:customStyle="1" w:styleId="AsuntodelcomentarioCar">
    <w:name w:val="Asunto del comentario Car"/>
    <w:basedOn w:val="TextocomentarioCar"/>
    <w:link w:val="Asuntodelcomentario"/>
    <w:uiPriority w:val="99"/>
    <w:semiHidden/>
    <w:rsid w:val="00CE144C"/>
    <w:rPr>
      <w:b/>
      <w:bCs/>
      <w:kern w:val="2"/>
      <w:lang w:eastAsia="en-US"/>
    </w:rPr>
  </w:style>
  <w:style w:type="paragraph" w:styleId="Textodeglobo">
    <w:name w:val="Balloon Text"/>
    <w:basedOn w:val="Normal"/>
    <w:link w:val="TextodegloboCar"/>
    <w:uiPriority w:val="99"/>
    <w:semiHidden/>
    <w:unhideWhenUsed/>
    <w:rsid w:val="00CE144C"/>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CE144C"/>
    <w:rPr>
      <w:rFonts w:ascii="Segoe UI" w:hAnsi="Segoe UI" w:cs="Segoe UI"/>
      <w:kern w:val="2"/>
      <w:sz w:val="18"/>
      <w:szCs w:val="18"/>
      <w:lang w:eastAsia="en-US"/>
    </w:rPr>
  </w:style>
  <w:style w:type="character" w:customStyle="1" w:styleId="UnresolvedMention">
    <w:name w:val="Unresolved Mention"/>
    <w:basedOn w:val="Fuentedeprrafopredeter"/>
    <w:uiPriority w:val="99"/>
    <w:semiHidden/>
    <w:unhideWhenUsed/>
    <w:rsid w:val="00192169"/>
    <w:rPr>
      <w:color w:val="605E5C"/>
      <w:shd w:val="clear" w:color="auto" w:fill="E1DFDD"/>
    </w:rPr>
  </w:style>
  <w:style w:type="paragraph" w:styleId="NormalWeb">
    <w:name w:val="Normal (Web)"/>
    <w:basedOn w:val="Normal"/>
    <w:uiPriority w:val="99"/>
    <w:semiHidden/>
    <w:unhideWhenUsed/>
    <w:rsid w:val="00011BC9"/>
    <w:pPr>
      <w:spacing w:before="100" w:beforeAutospacing="1" w:after="100" w:afterAutospacing="1" w:line="240" w:lineRule="auto"/>
    </w:pPr>
    <w:rPr>
      <w:rFonts w:ascii="Times New Roman" w:eastAsiaTheme="minorEastAsia" w:hAnsi="Times New Roman"/>
      <w:kern w:val="0"/>
      <w:sz w:val="24"/>
      <w:szCs w:val="24"/>
      <w:lang w:val="en-US"/>
    </w:rPr>
  </w:style>
  <w:style w:type="character" w:styleId="Textodelmarcadordeposicin">
    <w:name w:val="Placeholder Text"/>
    <w:basedOn w:val="Fuentedeprrafopredeter"/>
    <w:uiPriority w:val="99"/>
    <w:semiHidden/>
    <w:rsid w:val="008A6B69"/>
    <w:rPr>
      <w:color w:val="808080"/>
    </w:rPr>
  </w:style>
  <w:style w:type="table" w:styleId="Tablanormal3">
    <w:name w:val="Plain Table 3"/>
    <w:basedOn w:val="Tablanormal"/>
    <w:uiPriority w:val="43"/>
    <w:rsid w:val="00123180"/>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77582">
      <w:bodyDiv w:val="1"/>
      <w:marLeft w:val="0"/>
      <w:marRight w:val="0"/>
      <w:marTop w:val="0"/>
      <w:marBottom w:val="0"/>
      <w:divBdr>
        <w:top w:val="none" w:sz="0" w:space="0" w:color="auto"/>
        <w:left w:val="none" w:sz="0" w:space="0" w:color="auto"/>
        <w:bottom w:val="none" w:sz="0" w:space="0" w:color="auto"/>
        <w:right w:val="none" w:sz="0" w:space="0" w:color="auto"/>
      </w:divBdr>
    </w:div>
    <w:div w:id="7757417">
      <w:bodyDiv w:val="1"/>
      <w:marLeft w:val="0"/>
      <w:marRight w:val="0"/>
      <w:marTop w:val="0"/>
      <w:marBottom w:val="0"/>
      <w:divBdr>
        <w:top w:val="none" w:sz="0" w:space="0" w:color="auto"/>
        <w:left w:val="none" w:sz="0" w:space="0" w:color="auto"/>
        <w:bottom w:val="none" w:sz="0" w:space="0" w:color="auto"/>
        <w:right w:val="none" w:sz="0" w:space="0" w:color="auto"/>
      </w:divBdr>
    </w:div>
    <w:div w:id="18170924">
      <w:bodyDiv w:val="1"/>
      <w:marLeft w:val="0"/>
      <w:marRight w:val="0"/>
      <w:marTop w:val="0"/>
      <w:marBottom w:val="0"/>
      <w:divBdr>
        <w:top w:val="none" w:sz="0" w:space="0" w:color="auto"/>
        <w:left w:val="none" w:sz="0" w:space="0" w:color="auto"/>
        <w:bottom w:val="none" w:sz="0" w:space="0" w:color="auto"/>
        <w:right w:val="none" w:sz="0" w:space="0" w:color="auto"/>
      </w:divBdr>
    </w:div>
    <w:div w:id="19165904">
      <w:bodyDiv w:val="1"/>
      <w:marLeft w:val="0"/>
      <w:marRight w:val="0"/>
      <w:marTop w:val="0"/>
      <w:marBottom w:val="0"/>
      <w:divBdr>
        <w:top w:val="none" w:sz="0" w:space="0" w:color="auto"/>
        <w:left w:val="none" w:sz="0" w:space="0" w:color="auto"/>
        <w:bottom w:val="none" w:sz="0" w:space="0" w:color="auto"/>
        <w:right w:val="none" w:sz="0" w:space="0" w:color="auto"/>
      </w:divBdr>
    </w:div>
    <w:div w:id="21591618">
      <w:bodyDiv w:val="1"/>
      <w:marLeft w:val="0"/>
      <w:marRight w:val="0"/>
      <w:marTop w:val="0"/>
      <w:marBottom w:val="0"/>
      <w:divBdr>
        <w:top w:val="none" w:sz="0" w:space="0" w:color="auto"/>
        <w:left w:val="none" w:sz="0" w:space="0" w:color="auto"/>
        <w:bottom w:val="none" w:sz="0" w:space="0" w:color="auto"/>
        <w:right w:val="none" w:sz="0" w:space="0" w:color="auto"/>
      </w:divBdr>
    </w:div>
    <w:div w:id="23674937">
      <w:bodyDiv w:val="1"/>
      <w:marLeft w:val="0"/>
      <w:marRight w:val="0"/>
      <w:marTop w:val="0"/>
      <w:marBottom w:val="0"/>
      <w:divBdr>
        <w:top w:val="none" w:sz="0" w:space="0" w:color="auto"/>
        <w:left w:val="none" w:sz="0" w:space="0" w:color="auto"/>
        <w:bottom w:val="none" w:sz="0" w:space="0" w:color="auto"/>
        <w:right w:val="none" w:sz="0" w:space="0" w:color="auto"/>
      </w:divBdr>
    </w:div>
    <w:div w:id="32851586">
      <w:bodyDiv w:val="1"/>
      <w:marLeft w:val="0"/>
      <w:marRight w:val="0"/>
      <w:marTop w:val="0"/>
      <w:marBottom w:val="0"/>
      <w:divBdr>
        <w:top w:val="none" w:sz="0" w:space="0" w:color="auto"/>
        <w:left w:val="none" w:sz="0" w:space="0" w:color="auto"/>
        <w:bottom w:val="none" w:sz="0" w:space="0" w:color="auto"/>
        <w:right w:val="none" w:sz="0" w:space="0" w:color="auto"/>
      </w:divBdr>
    </w:div>
    <w:div w:id="50078297">
      <w:bodyDiv w:val="1"/>
      <w:marLeft w:val="0"/>
      <w:marRight w:val="0"/>
      <w:marTop w:val="0"/>
      <w:marBottom w:val="0"/>
      <w:divBdr>
        <w:top w:val="none" w:sz="0" w:space="0" w:color="auto"/>
        <w:left w:val="none" w:sz="0" w:space="0" w:color="auto"/>
        <w:bottom w:val="none" w:sz="0" w:space="0" w:color="auto"/>
        <w:right w:val="none" w:sz="0" w:space="0" w:color="auto"/>
      </w:divBdr>
    </w:div>
    <w:div w:id="74522976">
      <w:bodyDiv w:val="1"/>
      <w:marLeft w:val="0"/>
      <w:marRight w:val="0"/>
      <w:marTop w:val="0"/>
      <w:marBottom w:val="0"/>
      <w:divBdr>
        <w:top w:val="none" w:sz="0" w:space="0" w:color="auto"/>
        <w:left w:val="none" w:sz="0" w:space="0" w:color="auto"/>
        <w:bottom w:val="none" w:sz="0" w:space="0" w:color="auto"/>
        <w:right w:val="none" w:sz="0" w:space="0" w:color="auto"/>
      </w:divBdr>
    </w:div>
    <w:div w:id="82073577">
      <w:bodyDiv w:val="1"/>
      <w:marLeft w:val="0"/>
      <w:marRight w:val="0"/>
      <w:marTop w:val="0"/>
      <w:marBottom w:val="0"/>
      <w:divBdr>
        <w:top w:val="none" w:sz="0" w:space="0" w:color="auto"/>
        <w:left w:val="none" w:sz="0" w:space="0" w:color="auto"/>
        <w:bottom w:val="none" w:sz="0" w:space="0" w:color="auto"/>
        <w:right w:val="none" w:sz="0" w:space="0" w:color="auto"/>
      </w:divBdr>
    </w:div>
    <w:div w:id="86732344">
      <w:bodyDiv w:val="1"/>
      <w:marLeft w:val="0"/>
      <w:marRight w:val="0"/>
      <w:marTop w:val="0"/>
      <w:marBottom w:val="0"/>
      <w:divBdr>
        <w:top w:val="none" w:sz="0" w:space="0" w:color="auto"/>
        <w:left w:val="none" w:sz="0" w:space="0" w:color="auto"/>
        <w:bottom w:val="none" w:sz="0" w:space="0" w:color="auto"/>
        <w:right w:val="none" w:sz="0" w:space="0" w:color="auto"/>
      </w:divBdr>
    </w:div>
    <w:div w:id="90207080">
      <w:bodyDiv w:val="1"/>
      <w:marLeft w:val="0"/>
      <w:marRight w:val="0"/>
      <w:marTop w:val="0"/>
      <w:marBottom w:val="0"/>
      <w:divBdr>
        <w:top w:val="none" w:sz="0" w:space="0" w:color="auto"/>
        <w:left w:val="none" w:sz="0" w:space="0" w:color="auto"/>
        <w:bottom w:val="none" w:sz="0" w:space="0" w:color="auto"/>
        <w:right w:val="none" w:sz="0" w:space="0" w:color="auto"/>
      </w:divBdr>
    </w:div>
    <w:div w:id="93136756">
      <w:bodyDiv w:val="1"/>
      <w:marLeft w:val="0"/>
      <w:marRight w:val="0"/>
      <w:marTop w:val="0"/>
      <w:marBottom w:val="0"/>
      <w:divBdr>
        <w:top w:val="none" w:sz="0" w:space="0" w:color="auto"/>
        <w:left w:val="none" w:sz="0" w:space="0" w:color="auto"/>
        <w:bottom w:val="none" w:sz="0" w:space="0" w:color="auto"/>
        <w:right w:val="none" w:sz="0" w:space="0" w:color="auto"/>
      </w:divBdr>
    </w:div>
    <w:div w:id="95951797">
      <w:bodyDiv w:val="1"/>
      <w:marLeft w:val="0"/>
      <w:marRight w:val="0"/>
      <w:marTop w:val="0"/>
      <w:marBottom w:val="0"/>
      <w:divBdr>
        <w:top w:val="none" w:sz="0" w:space="0" w:color="auto"/>
        <w:left w:val="none" w:sz="0" w:space="0" w:color="auto"/>
        <w:bottom w:val="none" w:sz="0" w:space="0" w:color="auto"/>
        <w:right w:val="none" w:sz="0" w:space="0" w:color="auto"/>
      </w:divBdr>
    </w:div>
    <w:div w:id="108665875">
      <w:bodyDiv w:val="1"/>
      <w:marLeft w:val="0"/>
      <w:marRight w:val="0"/>
      <w:marTop w:val="0"/>
      <w:marBottom w:val="0"/>
      <w:divBdr>
        <w:top w:val="none" w:sz="0" w:space="0" w:color="auto"/>
        <w:left w:val="none" w:sz="0" w:space="0" w:color="auto"/>
        <w:bottom w:val="none" w:sz="0" w:space="0" w:color="auto"/>
        <w:right w:val="none" w:sz="0" w:space="0" w:color="auto"/>
      </w:divBdr>
    </w:div>
    <w:div w:id="109055325">
      <w:bodyDiv w:val="1"/>
      <w:marLeft w:val="0"/>
      <w:marRight w:val="0"/>
      <w:marTop w:val="0"/>
      <w:marBottom w:val="0"/>
      <w:divBdr>
        <w:top w:val="none" w:sz="0" w:space="0" w:color="auto"/>
        <w:left w:val="none" w:sz="0" w:space="0" w:color="auto"/>
        <w:bottom w:val="none" w:sz="0" w:space="0" w:color="auto"/>
        <w:right w:val="none" w:sz="0" w:space="0" w:color="auto"/>
      </w:divBdr>
      <w:divsChild>
        <w:div w:id="102699304">
          <w:marLeft w:val="0"/>
          <w:marRight w:val="0"/>
          <w:marTop w:val="0"/>
          <w:marBottom w:val="0"/>
          <w:divBdr>
            <w:top w:val="none" w:sz="0" w:space="0" w:color="auto"/>
            <w:left w:val="none" w:sz="0" w:space="0" w:color="auto"/>
            <w:bottom w:val="none" w:sz="0" w:space="0" w:color="auto"/>
            <w:right w:val="none" w:sz="0" w:space="0" w:color="auto"/>
          </w:divBdr>
        </w:div>
      </w:divsChild>
    </w:div>
    <w:div w:id="110561255">
      <w:bodyDiv w:val="1"/>
      <w:marLeft w:val="0"/>
      <w:marRight w:val="0"/>
      <w:marTop w:val="0"/>
      <w:marBottom w:val="0"/>
      <w:divBdr>
        <w:top w:val="none" w:sz="0" w:space="0" w:color="auto"/>
        <w:left w:val="none" w:sz="0" w:space="0" w:color="auto"/>
        <w:bottom w:val="none" w:sz="0" w:space="0" w:color="auto"/>
        <w:right w:val="none" w:sz="0" w:space="0" w:color="auto"/>
      </w:divBdr>
    </w:div>
    <w:div w:id="121772289">
      <w:bodyDiv w:val="1"/>
      <w:marLeft w:val="0"/>
      <w:marRight w:val="0"/>
      <w:marTop w:val="0"/>
      <w:marBottom w:val="0"/>
      <w:divBdr>
        <w:top w:val="none" w:sz="0" w:space="0" w:color="auto"/>
        <w:left w:val="none" w:sz="0" w:space="0" w:color="auto"/>
        <w:bottom w:val="none" w:sz="0" w:space="0" w:color="auto"/>
        <w:right w:val="none" w:sz="0" w:space="0" w:color="auto"/>
      </w:divBdr>
    </w:div>
    <w:div w:id="135531445">
      <w:bodyDiv w:val="1"/>
      <w:marLeft w:val="0"/>
      <w:marRight w:val="0"/>
      <w:marTop w:val="0"/>
      <w:marBottom w:val="0"/>
      <w:divBdr>
        <w:top w:val="none" w:sz="0" w:space="0" w:color="auto"/>
        <w:left w:val="none" w:sz="0" w:space="0" w:color="auto"/>
        <w:bottom w:val="none" w:sz="0" w:space="0" w:color="auto"/>
        <w:right w:val="none" w:sz="0" w:space="0" w:color="auto"/>
      </w:divBdr>
    </w:div>
    <w:div w:id="150560994">
      <w:bodyDiv w:val="1"/>
      <w:marLeft w:val="0"/>
      <w:marRight w:val="0"/>
      <w:marTop w:val="0"/>
      <w:marBottom w:val="0"/>
      <w:divBdr>
        <w:top w:val="none" w:sz="0" w:space="0" w:color="auto"/>
        <w:left w:val="none" w:sz="0" w:space="0" w:color="auto"/>
        <w:bottom w:val="none" w:sz="0" w:space="0" w:color="auto"/>
        <w:right w:val="none" w:sz="0" w:space="0" w:color="auto"/>
      </w:divBdr>
    </w:div>
    <w:div w:id="150603492">
      <w:bodyDiv w:val="1"/>
      <w:marLeft w:val="0"/>
      <w:marRight w:val="0"/>
      <w:marTop w:val="0"/>
      <w:marBottom w:val="0"/>
      <w:divBdr>
        <w:top w:val="none" w:sz="0" w:space="0" w:color="auto"/>
        <w:left w:val="none" w:sz="0" w:space="0" w:color="auto"/>
        <w:bottom w:val="none" w:sz="0" w:space="0" w:color="auto"/>
        <w:right w:val="none" w:sz="0" w:space="0" w:color="auto"/>
      </w:divBdr>
      <w:divsChild>
        <w:div w:id="1719937368">
          <w:marLeft w:val="0"/>
          <w:marRight w:val="0"/>
          <w:marTop w:val="0"/>
          <w:marBottom w:val="0"/>
          <w:divBdr>
            <w:top w:val="single" w:sz="2" w:space="0" w:color="auto"/>
            <w:left w:val="single" w:sz="2" w:space="0" w:color="auto"/>
            <w:bottom w:val="single" w:sz="2" w:space="0" w:color="auto"/>
            <w:right w:val="single" w:sz="2" w:space="0" w:color="auto"/>
          </w:divBdr>
          <w:divsChild>
            <w:div w:id="1328828631">
              <w:marLeft w:val="0"/>
              <w:marRight w:val="0"/>
              <w:marTop w:val="0"/>
              <w:marBottom w:val="0"/>
              <w:divBdr>
                <w:top w:val="single" w:sz="2" w:space="0" w:color="auto"/>
                <w:left w:val="single" w:sz="2" w:space="0" w:color="auto"/>
                <w:bottom w:val="single" w:sz="2" w:space="0" w:color="auto"/>
                <w:right w:val="single" w:sz="2" w:space="0" w:color="auto"/>
              </w:divBdr>
            </w:div>
          </w:divsChild>
        </w:div>
        <w:div w:id="1950509923">
          <w:marLeft w:val="0"/>
          <w:marRight w:val="0"/>
          <w:marTop w:val="0"/>
          <w:marBottom w:val="0"/>
          <w:divBdr>
            <w:top w:val="single" w:sz="2" w:space="0" w:color="auto"/>
            <w:left w:val="single" w:sz="2" w:space="0" w:color="auto"/>
            <w:bottom w:val="single" w:sz="2" w:space="0" w:color="auto"/>
            <w:right w:val="single" w:sz="2" w:space="0" w:color="auto"/>
          </w:divBdr>
          <w:divsChild>
            <w:div w:id="1398629332">
              <w:marLeft w:val="0"/>
              <w:marRight w:val="0"/>
              <w:marTop w:val="0"/>
              <w:marBottom w:val="0"/>
              <w:divBdr>
                <w:top w:val="single" w:sz="2" w:space="0" w:color="auto"/>
                <w:left w:val="single" w:sz="2" w:space="0" w:color="auto"/>
                <w:bottom w:val="single" w:sz="2" w:space="0" w:color="auto"/>
                <w:right w:val="single" w:sz="2" w:space="0" w:color="auto"/>
              </w:divBdr>
            </w:div>
          </w:divsChild>
        </w:div>
        <w:div w:id="2039118233">
          <w:marLeft w:val="0"/>
          <w:marRight w:val="0"/>
          <w:marTop w:val="0"/>
          <w:marBottom w:val="0"/>
          <w:divBdr>
            <w:top w:val="single" w:sz="2" w:space="0" w:color="auto"/>
            <w:left w:val="single" w:sz="2" w:space="0" w:color="auto"/>
            <w:bottom w:val="single" w:sz="2" w:space="0" w:color="auto"/>
            <w:right w:val="single" w:sz="2" w:space="0" w:color="auto"/>
          </w:divBdr>
          <w:divsChild>
            <w:div w:id="52902634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70722062">
      <w:bodyDiv w:val="1"/>
      <w:marLeft w:val="0"/>
      <w:marRight w:val="0"/>
      <w:marTop w:val="0"/>
      <w:marBottom w:val="0"/>
      <w:divBdr>
        <w:top w:val="none" w:sz="0" w:space="0" w:color="auto"/>
        <w:left w:val="none" w:sz="0" w:space="0" w:color="auto"/>
        <w:bottom w:val="none" w:sz="0" w:space="0" w:color="auto"/>
        <w:right w:val="none" w:sz="0" w:space="0" w:color="auto"/>
      </w:divBdr>
    </w:div>
    <w:div w:id="177163663">
      <w:bodyDiv w:val="1"/>
      <w:marLeft w:val="0"/>
      <w:marRight w:val="0"/>
      <w:marTop w:val="0"/>
      <w:marBottom w:val="0"/>
      <w:divBdr>
        <w:top w:val="none" w:sz="0" w:space="0" w:color="auto"/>
        <w:left w:val="none" w:sz="0" w:space="0" w:color="auto"/>
        <w:bottom w:val="none" w:sz="0" w:space="0" w:color="auto"/>
        <w:right w:val="none" w:sz="0" w:space="0" w:color="auto"/>
      </w:divBdr>
    </w:div>
    <w:div w:id="177500058">
      <w:bodyDiv w:val="1"/>
      <w:marLeft w:val="0"/>
      <w:marRight w:val="0"/>
      <w:marTop w:val="0"/>
      <w:marBottom w:val="0"/>
      <w:divBdr>
        <w:top w:val="none" w:sz="0" w:space="0" w:color="auto"/>
        <w:left w:val="none" w:sz="0" w:space="0" w:color="auto"/>
        <w:bottom w:val="none" w:sz="0" w:space="0" w:color="auto"/>
        <w:right w:val="none" w:sz="0" w:space="0" w:color="auto"/>
      </w:divBdr>
    </w:div>
    <w:div w:id="194000842">
      <w:bodyDiv w:val="1"/>
      <w:marLeft w:val="0"/>
      <w:marRight w:val="0"/>
      <w:marTop w:val="0"/>
      <w:marBottom w:val="0"/>
      <w:divBdr>
        <w:top w:val="none" w:sz="0" w:space="0" w:color="auto"/>
        <w:left w:val="none" w:sz="0" w:space="0" w:color="auto"/>
        <w:bottom w:val="none" w:sz="0" w:space="0" w:color="auto"/>
        <w:right w:val="none" w:sz="0" w:space="0" w:color="auto"/>
      </w:divBdr>
    </w:div>
    <w:div w:id="196620502">
      <w:bodyDiv w:val="1"/>
      <w:marLeft w:val="0"/>
      <w:marRight w:val="0"/>
      <w:marTop w:val="0"/>
      <w:marBottom w:val="0"/>
      <w:divBdr>
        <w:top w:val="none" w:sz="0" w:space="0" w:color="auto"/>
        <w:left w:val="none" w:sz="0" w:space="0" w:color="auto"/>
        <w:bottom w:val="none" w:sz="0" w:space="0" w:color="auto"/>
        <w:right w:val="none" w:sz="0" w:space="0" w:color="auto"/>
      </w:divBdr>
      <w:divsChild>
        <w:div w:id="559828758">
          <w:marLeft w:val="0"/>
          <w:marRight w:val="0"/>
          <w:marTop w:val="0"/>
          <w:marBottom w:val="0"/>
          <w:divBdr>
            <w:top w:val="single" w:sz="2" w:space="0" w:color="auto"/>
            <w:left w:val="single" w:sz="2" w:space="0" w:color="auto"/>
            <w:bottom w:val="single" w:sz="2" w:space="0" w:color="auto"/>
            <w:right w:val="single" w:sz="2" w:space="0" w:color="auto"/>
          </w:divBdr>
          <w:divsChild>
            <w:div w:id="1255701120">
              <w:marLeft w:val="0"/>
              <w:marRight w:val="0"/>
              <w:marTop w:val="0"/>
              <w:marBottom w:val="0"/>
              <w:divBdr>
                <w:top w:val="single" w:sz="2" w:space="0" w:color="auto"/>
                <w:left w:val="single" w:sz="2" w:space="0" w:color="auto"/>
                <w:bottom w:val="single" w:sz="2" w:space="0" w:color="auto"/>
                <w:right w:val="single" w:sz="2" w:space="0" w:color="auto"/>
              </w:divBdr>
            </w:div>
          </w:divsChild>
        </w:div>
        <w:div w:id="1650020030">
          <w:marLeft w:val="0"/>
          <w:marRight w:val="0"/>
          <w:marTop w:val="0"/>
          <w:marBottom w:val="0"/>
          <w:divBdr>
            <w:top w:val="single" w:sz="2" w:space="0" w:color="auto"/>
            <w:left w:val="single" w:sz="2" w:space="0" w:color="auto"/>
            <w:bottom w:val="single" w:sz="2" w:space="0" w:color="auto"/>
            <w:right w:val="single" w:sz="2" w:space="0" w:color="auto"/>
          </w:divBdr>
          <w:divsChild>
            <w:div w:id="1049955431">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208340147">
      <w:bodyDiv w:val="1"/>
      <w:marLeft w:val="0"/>
      <w:marRight w:val="0"/>
      <w:marTop w:val="0"/>
      <w:marBottom w:val="0"/>
      <w:divBdr>
        <w:top w:val="none" w:sz="0" w:space="0" w:color="auto"/>
        <w:left w:val="none" w:sz="0" w:space="0" w:color="auto"/>
        <w:bottom w:val="none" w:sz="0" w:space="0" w:color="auto"/>
        <w:right w:val="none" w:sz="0" w:space="0" w:color="auto"/>
      </w:divBdr>
    </w:div>
    <w:div w:id="211158634">
      <w:bodyDiv w:val="1"/>
      <w:marLeft w:val="0"/>
      <w:marRight w:val="0"/>
      <w:marTop w:val="0"/>
      <w:marBottom w:val="0"/>
      <w:divBdr>
        <w:top w:val="none" w:sz="0" w:space="0" w:color="auto"/>
        <w:left w:val="none" w:sz="0" w:space="0" w:color="auto"/>
        <w:bottom w:val="none" w:sz="0" w:space="0" w:color="auto"/>
        <w:right w:val="none" w:sz="0" w:space="0" w:color="auto"/>
      </w:divBdr>
    </w:div>
    <w:div w:id="218252860">
      <w:bodyDiv w:val="1"/>
      <w:marLeft w:val="0"/>
      <w:marRight w:val="0"/>
      <w:marTop w:val="0"/>
      <w:marBottom w:val="0"/>
      <w:divBdr>
        <w:top w:val="none" w:sz="0" w:space="0" w:color="auto"/>
        <w:left w:val="none" w:sz="0" w:space="0" w:color="auto"/>
        <w:bottom w:val="none" w:sz="0" w:space="0" w:color="auto"/>
        <w:right w:val="none" w:sz="0" w:space="0" w:color="auto"/>
      </w:divBdr>
    </w:div>
    <w:div w:id="222763108">
      <w:bodyDiv w:val="1"/>
      <w:marLeft w:val="0"/>
      <w:marRight w:val="0"/>
      <w:marTop w:val="0"/>
      <w:marBottom w:val="0"/>
      <w:divBdr>
        <w:top w:val="none" w:sz="0" w:space="0" w:color="auto"/>
        <w:left w:val="none" w:sz="0" w:space="0" w:color="auto"/>
        <w:bottom w:val="none" w:sz="0" w:space="0" w:color="auto"/>
        <w:right w:val="none" w:sz="0" w:space="0" w:color="auto"/>
      </w:divBdr>
    </w:div>
    <w:div w:id="230238570">
      <w:bodyDiv w:val="1"/>
      <w:marLeft w:val="0"/>
      <w:marRight w:val="0"/>
      <w:marTop w:val="0"/>
      <w:marBottom w:val="0"/>
      <w:divBdr>
        <w:top w:val="none" w:sz="0" w:space="0" w:color="auto"/>
        <w:left w:val="none" w:sz="0" w:space="0" w:color="auto"/>
        <w:bottom w:val="none" w:sz="0" w:space="0" w:color="auto"/>
        <w:right w:val="none" w:sz="0" w:space="0" w:color="auto"/>
      </w:divBdr>
      <w:divsChild>
        <w:div w:id="1344355669">
          <w:marLeft w:val="0"/>
          <w:marRight w:val="0"/>
          <w:marTop w:val="0"/>
          <w:marBottom w:val="0"/>
          <w:divBdr>
            <w:top w:val="single" w:sz="2" w:space="0" w:color="auto"/>
            <w:left w:val="single" w:sz="2" w:space="0" w:color="auto"/>
            <w:bottom w:val="single" w:sz="2" w:space="0" w:color="auto"/>
            <w:right w:val="single" w:sz="2" w:space="0" w:color="auto"/>
          </w:divBdr>
          <w:divsChild>
            <w:div w:id="1079206631">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234971293">
      <w:bodyDiv w:val="1"/>
      <w:marLeft w:val="0"/>
      <w:marRight w:val="0"/>
      <w:marTop w:val="0"/>
      <w:marBottom w:val="0"/>
      <w:divBdr>
        <w:top w:val="none" w:sz="0" w:space="0" w:color="auto"/>
        <w:left w:val="none" w:sz="0" w:space="0" w:color="auto"/>
        <w:bottom w:val="none" w:sz="0" w:space="0" w:color="auto"/>
        <w:right w:val="none" w:sz="0" w:space="0" w:color="auto"/>
      </w:divBdr>
    </w:div>
    <w:div w:id="245308482">
      <w:bodyDiv w:val="1"/>
      <w:marLeft w:val="0"/>
      <w:marRight w:val="0"/>
      <w:marTop w:val="0"/>
      <w:marBottom w:val="0"/>
      <w:divBdr>
        <w:top w:val="none" w:sz="0" w:space="0" w:color="auto"/>
        <w:left w:val="none" w:sz="0" w:space="0" w:color="auto"/>
        <w:bottom w:val="none" w:sz="0" w:space="0" w:color="auto"/>
        <w:right w:val="none" w:sz="0" w:space="0" w:color="auto"/>
      </w:divBdr>
    </w:div>
    <w:div w:id="245654154">
      <w:bodyDiv w:val="1"/>
      <w:marLeft w:val="0"/>
      <w:marRight w:val="0"/>
      <w:marTop w:val="0"/>
      <w:marBottom w:val="0"/>
      <w:divBdr>
        <w:top w:val="none" w:sz="0" w:space="0" w:color="auto"/>
        <w:left w:val="none" w:sz="0" w:space="0" w:color="auto"/>
        <w:bottom w:val="none" w:sz="0" w:space="0" w:color="auto"/>
        <w:right w:val="none" w:sz="0" w:space="0" w:color="auto"/>
      </w:divBdr>
    </w:div>
    <w:div w:id="248851233">
      <w:bodyDiv w:val="1"/>
      <w:marLeft w:val="0"/>
      <w:marRight w:val="0"/>
      <w:marTop w:val="0"/>
      <w:marBottom w:val="0"/>
      <w:divBdr>
        <w:top w:val="none" w:sz="0" w:space="0" w:color="auto"/>
        <w:left w:val="none" w:sz="0" w:space="0" w:color="auto"/>
        <w:bottom w:val="none" w:sz="0" w:space="0" w:color="auto"/>
        <w:right w:val="none" w:sz="0" w:space="0" w:color="auto"/>
      </w:divBdr>
    </w:div>
    <w:div w:id="251284439">
      <w:bodyDiv w:val="1"/>
      <w:marLeft w:val="0"/>
      <w:marRight w:val="0"/>
      <w:marTop w:val="0"/>
      <w:marBottom w:val="0"/>
      <w:divBdr>
        <w:top w:val="none" w:sz="0" w:space="0" w:color="auto"/>
        <w:left w:val="none" w:sz="0" w:space="0" w:color="auto"/>
        <w:bottom w:val="none" w:sz="0" w:space="0" w:color="auto"/>
        <w:right w:val="none" w:sz="0" w:space="0" w:color="auto"/>
      </w:divBdr>
      <w:divsChild>
        <w:div w:id="1077552074">
          <w:marLeft w:val="0"/>
          <w:marRight w:val="0"/>
          <w:marTop w:val="0"/>
          <w:marBottom w:val="0"/>
          <w:divBdr>
            <w:top w:val="single" w:sz="2" w:space="0" w:color="auto"/>
            <w:left w:val="single" w:sz="2" w:space="0" w:color="auto"/>
            <w:bottom w:val="single" w:sz="2" w:space="0" w:color="auto"/>
            <w:right w:val="single" w:sz="2" w:space="0" w:color="auto"/>
          </w:divBdr>
          <w:divsChild>
            <w:div w:id="1647590045">
              <w:marLeft w:val="0"/>
              <w:marRight w:val="0"/>
              <w:marTop w:val="0"/>
              <w:marBottom w:val="0"/>
              <w:divBdr>
                <w:top w:val="single" w:sz="2" w:space="0" w:color="auto"/>
                <w:left w:val="single" w:sz="2" w:space="0" w:color="auto"/>
                <w:bottom w:val="single" w:sz="2" w:space="0" w:color="auto"/>
                <w:right w:val="single" w:sz="2" w:space="0" w:color="auto"/>
              </w:divBdr>
            </w:div>
          </w:divsChild>
        </w:div>
        <w:div w:id="1557468809">
          <w:marLeft w:val="0"/>
          <w:marRight w:val="0"/>
          <w:marTop w:val="0"/>
          <w:marBottom w:val="0"/>
          <w:divBdr>
            <w:top w:val="single" w:sz="2" w:space="0" w:color="auto"/>
            <w:left w:val="single" w:sz="2" w:space="0" w:color="auto"/>
            <w:bottom w:val="single" w:sz="2" w:space="0" w:color="auto"/>
            <w:right w:val="single" w:sz="2" w:space="0" w:color="auto"/>
          </w:divBdr>
          <w:divsChild>
            <w:div w:id="1766922287">
              <w:marLeft w:val="0"/>
              <w:marRight w:val="0"/>
              <w:marTop w:val="0"/>
              <w:marBottom w:val="0"/>
              <w:divBdr>
                <w:top w:val="single" w:sz="2" w:space="0" w:color="auto"/>
                <w:left w:val="single" w:sz="2" w:space="0" w:color="auto"/>
                <w:bottom w:val="single" w:sz="2" w:space="0" w:color="auto"/>
                <w:right w:val="single" w:sz="2" w:space="0" w:color="auto"/>
              </w:divBdr>
            </w:div>
          </w:divsChild>
        </w:div>
        <w:div w:id="1670254595">
          <w:marLeft w:val="0"/>
          <w:marRight w:val="0"/>
          <w:marTop w:val="0"/>
          <w:marBottom w:val="0"/>
          <w:divBdr>
            <w:top w:val="single" w:sz="2" w:space="0" w:color="auto"/>
            <w:left w:val="single" w:sz="2" w:space="0" w:color="auto"/>
            <w:bottom w:val="single" w:sz="2" w:space="0" w:color="auto"/>
            <w:right w:val="single" w:sz="2" w:space="0" w:color="auto"/>
          </w:divBdr>
          <w:divsChild>
            <w:div w:id="83742986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261911854">
      <w:bodyDiv w:val="1"/>
      <w:marLeft w:val="0"/>
      <w:marRight w:val="0"/>
      <w:marTop w:val="0"/>
      <w:marBottom w:val="0"/>
      <w:divBdr>
        <w:top w:val="none" w:sz="0" w:space="0" w:color="auto"/>
        <w:left w:val="none" w:sz="0" w:space="0" w:color="auto"/>
        <w:bottom w:val="none" w:sz="0" w:space="0" w:color="auto"/>
        <w:right w:val="none" w:sz="0" w:space="0" w:color="auto"/>
      </w:divBdr>
    </w:div>
    <w:div w:id="271325627">
      <w:bodyDiv w:val="1"/>
      <w:marLeft w:val="0"/>
      <w:marRight w:val="0"/>
      <w:marTop w:val="0"/>
      <w:marBottom w:val="0"/>
      <w:divBdr>
        <w:top w:val="none" w:sz="0" w:space="0" w:color="auto"/>
        <w:left w:val="none" w:sz="0" w:space="0" w:color="auto"/>
        <w:bottom w:val="none" w:sz="0" w:space="0" w:color="auto"/>
        <w:right w:val="none" w:sz="0" w:space="0" w:color="auto"/>
      </w:divBdr>
    </w:div>
    <w:div w:id="273637700">
      <w:bodyDiv w:val="1"/>
      <w:marLeft w:val="0"/>
      <w:marRight w:val="0"/>
      <w:marTop w:val="0"/>
      <w:marBottom w:val="0"/>
      <w:divBdr>
        <w:top w:val="none" w:sz="0" w:space="0" w:color="auto"/>
        <w:left w:val="none" w:sz="0" w:space="0" w:color="auto"/>
        <w:bottom w:val="none" w:sz="0" w:space="0" w:color="auto"/>
        <w:right w:val="none" w:sz="0" w:space="0" w:color="auto"/>
      </w:divBdr>
    </w:div>
    <w:div w:id="275257960">
      <w:bodyDiv w:val="1"/>
      <w:marLeft w:val="0"/>
      <w:marRight w:val="0"/>
      <w:marTop w:val="0"/>
      <w:marBottom w:val="0"/>
      <w:divBdr>
        <w:top w:val="none" w:sz="0" w:space="0" w:color="auto"/>
        <w:left w:val="none" w:sz="0" w:space="0" w:color="auto"/>
        <w:bottom w:val="none" w:sz="0" w:space="0" w:color="auto"/>
        <w:right w:val="none" w:sz="0" w:space="0" w:color="auto"/>
      </w:divBdr>
    </w:div>
    <w:div w:id="286006580">
      <w:bodyDiv w:val="1"/>
      <w:marLeft w:val="0"/>
      <w:marRight w:val="0"/>
      <w:marTop w:val="0"/>
      <w:marBottom w:val="0"/>
      <w:divBdr>
        <w:top w:val="none" w:sz="0" w:space="0" w:color="auto"/>
        <w:left w:val="none" w:sz="0" w:space="0" w:color="auto"/>
        <w:bottom w:val="none" w:sz="0" w:space="0" w:color="auto"/>
        <w:right w:val="none" w:sz="0" w:space="0" w:color="auto"/>
      </w:divBdr>
    </w:div>
    <w:div w:id="300892843">
      <w:bodyDiv w:val="1"/>
      <w:marLeft w:val="0"/>
      <w:marRight w:val="0"/>
      <w:marTop w:val="0"/>
      <w:marBottom w:val="0"/>
      <w:divBdr>
        <w:top w:val="none" w:sz="0" w:space="0" w:color="auto"/>
        <w:left w:val="none" w:sz="0" w:space="0" w:color="auto"/>
        <w:bottom w:val="none" w:sz="0" w:space="0" w:color="auto"/>
        <w:right w:val="none" w:sz="0" w:space="0" w:color="auto"/>
      </w:divBdr>
      <w:divsChild>
        <w:div w:id="491607743">
          <w:marLeft w:val="0"/>
          <w:marRight w:val="0"/>
          <w:marTop w:val="0"/>
          <w:marBottom w:val="0"/>
          <w:divBdr>
            <w:top w:val="single" w:sz="2" w:space="0" w:color="auto"/>
            <w:left w:val="single" w:sz="2" w:space="0" w:color="auto"/>
            <w:bottom w:val="single" w:sz="2" w:space="0" w:color="auto"/>
            <w:right w:val="single" w:sz="2" w:space="0" w:color="auto"/>
          </w:divBdr>
          <w:divsChild>
            <w:div w:id="1887058438">
              <w:marLeft w:val="0"/>
              <w:marRight w:val="0"/>
              <w:marTop w:val="0"/>
              <w:marBottom w:val="0"/>
              <w:divBdr>
                <w:top w:val="single" w:sz="2" w:space="0" w:color="auto"/>
                <w:left w:val="single" w:sz="2" w:space="0" w:color="auto"/>
                <w:bottom w:val="single" w:sz="2" w:space="0" w:color="auto"/>
                <w:right w:val="single" w:sz="2" w:space="0" w:color="auto"/>
              </w:divBdr>
            </w:div>
          </w:divsChild>
        </w:div>
        <w:div w:id="659382540">
          <w:marLeft w:val="0"/>
          <w:marRight w:val="0"/>
          <w:marTop w:val="0"/>
          <w:marBottom w:val="0"/>
          <w:divBdr>
            <w:top w:val="single" w:sz="2" w:space="0" w:color="auto"/>
            <w:left w:val="single" w:sz="2" w:space="0" w:color="auto"/>
            <w:bottom w:val="single" w:sz="2" w:space="0" w:color="auto"/>
            <w:right w:val="single" w:sz="2" w:space="0" w:color="auto"/>
          </w:divBdr>
          <w:divsChild>
            <w:div w:id="727651734">
              <w:marLeft w:val="0"/>
              <w:marRight w:val="0"/>
              <w:marTop w:val="0"/>
              <w:marBottom w:val="0"/>
              <w:divBdr>
                <w:top w:val="single" w:sz="2" w:space="0" w:color="auto"/>
                <w:left w:val="single" w:sz="2" w:space="0" w:color="auto"/>
                <w:bottom w:val="single" w:sz="2" w:space="0" w:color="auto"/>
                <w:right w:val="single" w:sz="2" w:space="0" w:color="auto"/>
              </w:divBdr>
            </w:div>
          </w:divsChild>
        </w:div>
        <w:div w:id="768890235">
          <w:marLeft w:val="0"/>
          <w:marRight w:val="0"/>
          <w:marTop w:val="0"/>
          <w:marBottom w:val="0"/>
          <w:divBdr>
            <w:top w:val="single" w:sz="2" w:space="0" w:color="auto"/>
            <w:left w:val="single" w:sz="2" w:space="0" w:color="auto"/>
            <w:bottom w:val="single" w:sz="2" w:space="0" w:color="auto"/>
            <w:right w:val="single" w:sz="2" w:space="0" w:color="auto"/>
          </w:divBdr>
          <w:divsChild>
            <w:div w:id="508787538">
              <w:marLeft w:val="0"/>
              <w:marRight w:val="0"/>
              <w:marTop w:val="0"/>
              <w:marBottom w:val="0"/>
              <w:divBdr>
                <w:top w:val="single" w:sz="2" w:space="0" w:color="auto"/>
                <w:left w:val="single" w:sz="2" w:space="0" w:color="auto"/>
                <w:bottom w:val="single" w:sz="2" w:space="0" w:color="auto"/>
                <w:right w:val="single" w:sz="2" w:space="0" w:color="auto"/>
              </w:divBdr>
            </w:div>
          </w:divsChild>
        </w:div>
        <w:div w:id="1096901818">
          <w:marLeft w:val="0"/>
          <w:marRight w:val="0"/>
          <w:marTop w:val="0"/>
          <w:marBottom w:val="0"/>
          <w:divBdr>
            <w:top w:val="single" w:sz="2" w:space="0" w:color="auto"/>
            <w:left w:val="single" w:sz="2" w:space="0" w:color="auto"/>
            <w:bottom w:val="single" w:sz="2" w:space="0" w:color="auto"/>
            <w:right w:val="single" w:sz="2" w:space="0" w:color="auto"/>
          </w:divBdr>
          <w:divsChild>
            <w:div w:id="2001347021">
              <w:marLeft w:val="0"/>
              <w:marRight w:val="0"/>
              <w:marTop w:val="0"/>
              <w:marBottom w:val="0"/>
              <w:divBdr>
                <w:top w:val="single" w:sz="2" w:space="0" w:color="auto"/>
                <w:left w:val="single" w:sz="2" w:space="0" w:color="auto"/>
                <w:bottom w:val="single" w:sz="2" w:space="0" w:color="auto"/>
                <w:right w:val="single" w:sz="2" w:space="0" w:color="auto"/>
              </w:divBdr>
            </w:div>
          </w:divsChild>
        </w:div>
        <w:div w:id="1626277452">
          <w:marLeft w:val="0"/>
          <w:marRight w:val="0"/>
          <w:marTop w:val="0"/>
          <w:marBottom w:val="0"/>
          <w:divBdr>
            <w:top w:val="single" w:sz="2" w:space="0" w:color="auto"/>
            <w:left w:val="single" w:sz="2" w:space="0" w:color="auto"/>
            <w:bottom w:val="single" w:sz="2" w:space="0" w:color="auto"/>
            <w:right w:val="single" w:sz="2" w:space="0" w:color="auto"/>
          </w:divBdr>
          <w:divsChild>
            <w:div w:id="753740498">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320084682">
      <w:bodyDiv w:val="1"/>
      <w:marLeft w:val="0"/>
      <w:marRight w:val="0"/>
      <w:marTop w:val="0"/>
      <w:marBottom w:val="0"/>
      <w:divBdr>
        <w:top w:val="none" w:sz="0" w:space="0" w:color="auto"/>
        <w:left w:val="none" w:sz="0" w:space="0" w:color="auto"/>
        <w:bottom w:val="none" w:sz="0" w:space="0" w:color="auto"/>
        <w:right w:val="none" w:sz="0" w:space="0" w:color="auto"/>
      </w:divBdr>
    </w:div>
    <w:div w:id="320549653">
      <w:bodyDiv w:val="1"/>
      <w:marLeft w:val="0"/>
      <w:marRight w:val="0"/>
      <w:marTop w:val="0"/>
      <w:marBottom w:val="0"/>
      <w:divBdr>
        <w:top w:val="none" w:sz="0" w:space="0" w:color="auto"/>
        <w:left w:val="none" w:sz="0" w:space="0" w:color="auto"/>
        <w:bottom w:val="none" w:sz="0" w:space="0" w:color="auto"/>
        <w:right w:val="none" w:sz="0" w:space="0" w:color="auto"/>
      </w:divBdr>
    </w:div>
    <w:div w:id="331839322">
      <w:bodyDiv w:val="1"/>
      <w:marLeft w:val="0"/>
      <w:marRight w:val="0"/>
      <w:marTop w:val="0"/>
      <w:marBottom w:val="0"/>
      <w:divBdr>
        <w:top w:val="none" w:sz="0" w:space="0" w:color="auto"/>
        <w:left w:val="none" w:sz="0" w:space="0" w:color="auto"/>
        <w:bottom w:val="none" w:sz="0" w:space="0" w:color="auto"/>
        <w:right w:val="none" w:sz="0" w:space="0" w:color="auto"/>
      </w:divBdr>
      <w:divsChild>
        <w:div w:id="1560752535">
          <w:marLeft w:val="0"/>
          <w:marRight w:val="0"/>
          <w:marTop w:val="0"/>
          <w:marBottom w:val="0"/>
          <w:divBdr>
            <w:top w:val="single" w:sz="2" w:space="0" w:color="auto"/>
            <w:left w:val="single" w:sz="2" w:space="0" w:color="auto"/>
            <w:bottom w:val="single" w:sz="2" w:space="0" w:color="auto"/>
            <w:right w:val="single" w:sz="2" w:space="0" w:color="auto"/>
          </w:divBdr>
          <w:divsChild>
            <w:div w:id="184963313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334260899">
      <w:bodyDiv w:val="1"/>
      <w:marLeft w:val="0"/>
      <w:marRight w:val="0"/>
      <w:marTop w:val="0"/>
      <w:marBottom w:val="0"/>
      <w:divBdr>
        <w:top w:val="none" w:sz="0" w:space="0" w:color="auto"/>
        <w:left w:val="none" w:sz="0" w:space="0" w:color="auto"/>
        <w:bottom w:val="none" w:sz="0" w:space="0" w:color="auto"/>
        <w:right w:val="none" w:sz="0" w:space="0" w:color="auto"/>
      </w:divBdr>
      <w:divsChild>
        <w:div w:id="804080175">
          <w:marLeft w:val="0"/>
          <w:marRight w:val="0"/>
          <w:marTop w:val="0"/>
          <w:marBottom w:val="0"/>
          <w:divBdr>
            <w:top w:val="single" w:sz="2" w:space="0" w:color="auto"/>
            <w:left w:val="single" w:sz="2" w:space="0" w:color="auto"/>
            <w:bottom w:val="single" w:sz="2" w:space="0" w:color="auto"/>
            <w:right w:val="single" w:sz="2" w:space="0" w:color="auto"/>
          </w:divBdr>
          <w:divsChild>
            <w:div w:id="72437451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334305985">
      <w:bodyDiv w:val="1"/>
      <w:marLeft w:val="0"/>
      <w:marRight w:val="0"/>
      <w:marTop w:val="0"/>
      <w:marBottom w:val="0"/>
      <w:divBdr>
        <w:top w:val="none" w:sz="0" w:space="0" w:color="auto"/>
        <w:left w:val="none" w:sz="0" w:space="0" w:color="auto"/>
        <w:bottom w:val="none" w:sz="0" w:space="0" w:color="auto"/>
        <w:right w:val="none" w:sz="0" w:space="0" w:color="auto"/>
      </w:divBdr>
    </w:div>
    <w:div w:id="342510209">
      <w:bodyDiv w:val="1"/>
      <w:marLeft w:val="0"/>
      <w:marRight w:val="0"/>
      <w:marTop w:val="0"/>
      <w:marBottom w:val="0"/>
      <w:divBdr>
        <w:top w:val="none" w:sz="0" w:space="0" w:color="auto"/>
        <w:left w:val="none" w:sz="0" w:space="0" w:color="auto"/>
        <w:bottom w:val="none" w:sz="0" w:space="0" w:color="auto"/>
        <w:right w:val="none" w:sz="0" w:space="0" w:color="auto"/>
      </w:divBdr>
    </w:div>
    <w:div w:id="347172970">
      <w:bodyDiv w:val="1"/>
      <w:marLeft w:val="0"/>
      <w:marRight w:val="0"/>
      <w:marTop w:val="0"/>
      <w:marBottom w:val="0"/>
      <w:divBdr>
        <w:top w:val="none" w:sz="0" w:space="0" w:color="auto"/>
        <w:left w:val="none" w:sz="0" w:space="0" w:color="auto"/>
        <w:bottom w:val="none" w:sz="0" w:space="0" w:color="auto"/>
        <w:right w:val="none" w:sz="0" w:space="0" w:color="auto"/>
      </w:divBdr>
    </w:div>
    <w:div w:id="354505324">
      <w:bodyDiv w:val="1"/>
      <w:marLeft w:val="0"/>
      <w:marRight w:val="0"/>
      <w:marTop w:val="0"/>
      <w:marBottom w:val="0"/>
      <w:divBdr>
        <w:top w:val="none" w:sz="0" w:space="0" w:color="auto"/>
        <w:left w:val="none" w:sz="0" w:space="0" w:color="auto"/>
        <w:bottom w:val="none" w:sz="0" w:space="0" w:color="auto"/>
        <w:right w:val="none" w:sz="0" w:space="0" w:color="auto"/>
      </w:divBdr>
    </w:div>
    <w:div w:id="364477706">
      <w:bodyDiv w:val="1"/>
      <w:marLeft w:val="0"/>
      <w:marRight w:val="0"/>
      <w:marTop w:val="0"/>
      <w:marBottom w:val="0"/>
      <w:divBdr>
        <w:top w:val="none" w:sz="0" w:space="0" w:color="auto"/>
        <w:left w:val="none" w:sz="0" w:space="0" w:color="auto"/>
        <w:bottom w:val="none" w:sz="0" w:space="0" w:color="auto"/>
        <w:right w:val="none" w:sz="0" w:space="0" w:color="auto"/>
      </w:divBdr>
    </w:div>
    <w:div w:id="378167084">
      <w:bodyDiv w:val="1"/>
      <w:marLeft w:val="0"/>
      <w:marRight w:val="0"/>
      <w:marTop w:val="0"/>
      <w:marBottom w:val="0"/>
      <w:divBdr>
        <w:top w:val="none" w:sz="0" w:space="0" w:color="auto"/>
        <w:left w:val="none" w:sz="0" w:space="0" w:color="auto"/>
        <w:bottom w:val="none" w:sz="0" w:space="0" w:color="auto"/>
        <w:right w:val="none" w:sz="0" w:space="0" w:color="auto"/>
      </w:divBdr>
    </w:div>
    <w:div w:id="391538409">
      <w:bodyDiv w:val="1"/>
      <w:marLeft w:val="0"/>
      <w:marRight w:val="0"/>
      <w:marTop w:val="0"/>
      <w:marBottom w:val="0"/>
      <w:divBdr>
        <w:top w:val="none" w:sz="0" w:space="0" w:color="auto"/>
        <w:left w:val="none" w:sz="0" w:space="0" w:color="auto"/>
        <w:bottom w:val="none" w:sz="0" w:space="0" w:color="auto"/>
        <w:right w:val="none" w:sz="0" w:space="0" w:color="auto"/>
      </w:divBdr>
      <w:divsChild>
        <w:div w:id="295643393">
          <w:marLeft w:val="0"/>
          <w:marRight w:val="0"/>
          <w:marTop w:val="0"/>
          <w:marBottom w:val="0"/>
          <w:divBdr>
            <w:top w:val="single" w:sz="2" w:space="0" w:color="auto"/>
            <w:left w:val="single" w:sz="2" w:space="0" w:color="auto"/>
            <w:bottom w:val="single" w:sz="2" w:space="0" w:color="auto"/>
            <w:right w:val="single" w:sz="2" w:space="0" w:color="auto"/>
          </w:divBdr>
          <w:divsChild>
            <w:div w:id="1102452151">
              <w:marLeft w:val="0"/>
              <w:marRight w:val="0"/>
              <w:marTop w:val="0"/>
              <w:marBottom w:val="0"/>
              <w:divBdr>
                <w:top w:val="single" w:sz="2" w:space="0" w:color="auto"/>
                <w:left w:val="single" w:sz="2" w:space="0" w:color="auto"/>
                <w:bottom w:val="single" w:sz="2" w:space="0" w:color="auto"/>
                <w:right w:val="single" w:sz="2" w:space="0" w:color="auto"/>
              </w:divBdr>
            </w:div>
          </w:divsChild>
        </w:div>
        <w:div w:id="658928834">
          <w:marLeft w:val="0"/>
          <w:marRight w:val="0"/>
          <w:marTop w:val="0"/>
          <w:marBottom w:val="0"/>
          <w:divBdr>
            <w:top w:val="single" w:sz="2" w:space="0" w:color="auto"/>
            <w:left w:val="single" w:sz="2" w:space="0" w:color="auto"/>
            <w:bottom w:val="single" w:sz="2" w:space="0" w:color="auto"/>
            <w:right w:val="single" w:sz="2" w:space="0" w:color="auto"/>
          </w:divBdr>
          <w:divsChild>
            <w:div w:id="2073194411">
              <w:marLeft w:val="0"/>
              <w:marRight w:val="0"/>
              <w:marTop w:val="0"/>
              <w:marBottom w:val="0"/>
              <w:divBdr>
                <w:top w:val="single" w:sz="2" w:space="0" w:color="auto"/>
                <w:left w:val="single" w:sz="2" w:space="0" w:color="auto"/>
                <w:bottom w:val="single" w:sz="2" w:space="0" w:color="auto"/>
                <w:right w:val="single" w:sz="2" w:space="0" w:color="auto"/>
              </w:divBdr>
            </w:div>
          </w:divsChild>
        </w:div>
        <w:div w:id="1903325208">
          <w:marLeft w:val="0"/>
          <w:marRight w:val="0"/>
          <w:marTop w:val="0"/>
          <w:marBottom w:val="0"/>
          <w:divBdr>
            <w:top w:val="single" w:sz="2" w:space="0" w:color="auto"/>
            <w:left w:val="single" w:sz="2" w:space="0" w:color="auto"/>
            <w:bottom w:val="single" w:sz="2" w:space="0" w:color="auto"/>
            <w:right w:val="single" w:sz="2" w:space="0" w:color="auto"/>
          </w:divBdr>
          <w:divsChild>
            <w:div w:id="194341680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406221531">
      <w:bodyDiv w:val="1"/>
      <w:marLeft w:val="0"/>
      <w:marRight w:val="0"/>
      <w:marTop w:val="0"/>
      <w:marBottom w:val="0"/>
      <w:divBdr>
        <w:top w:val="none" w:sz="0" w:space="0" w:color="auto"/>
        <w:left w:val="none" w:sz="0" w:space="0" w:color="auto"/>
        <w:bottom w:val="none" w:sz="0" w:space="0" w:color="auto"/>
        <w:right w:val="none" w:sz="0" w:space="0" w:color="auto"/>
      </w:divBdr>
    </w:div>
    <w:div w:id="408238237">
      <w:bodyDiv w:val="1"/>
      <w:marLeft w:val="0"/>
      <w:marRight w:val="0"/>
      <w:marTop w:val="0"/>
      <w:marBottom w:val="0"/>
      <w:divBdr>
        <w:top w:val="none" w:sz="0" w:space="0" w:color="auto"/>
        <w:left w:val="none" w:sz="0" w:space="0" w:color="auto"/>
        <w:bottom w:val="none" w:sz="0" w:space="0" w:color="auto"/>
        <w:right w:val="none" w:sz="0" w:space="0" w:color="auto"/>
      </w:divBdr>
    </w:div>
    <w:div w:id="412122793">
      <w:bodyDiv w:val="1"/>
      <w:marLeft w:val="0"/>
      <w:marRight w:val="0"/>
      <w:marTop w:val="0"/>
      <w:marBottom w:val="0"/>
      <w:divBdr>
        <w:top w:val="none" w:sz="0" w:space="0" w:color="auto"/>
        <w:left w:val="none" w:sz="0" w:space="0" w:color="auto"/>
        <w:bottom w:val="none" w:sz="0" w:space="0" w:color="auto"/>
        <w:right w:val="none" w:sz="0" w:space="0" w:color="auto"/>
      </w:divBdr>
    </w:div>
    <w:div w:id="437677996">
      <w:bodyDiv w:val="1"/>
      <w:marLeft w:val="0"/>
      <w:marRight w:val="0"/>
      <w:marTop w:val="0"/>
      <w:marBottom w:val="0"/>
      <w:divBdr>
        <w:top w:val="none" w:sz="0" w:space="0" w:color="auto"/>
        <w:left w:val="none" w:sz="0" w:space="0" w:color="auto"/>
        <w:bottom w:val="none" w:sz="0" w:space="0" w:color="auto"/>
        <w:right w:val="none" w:sz="0" w:space="0" w:color="auto"/>
      </w:divBdr>
    </w:div>
    <w:div w:id="450592205">
      <w:bodyDiv w:val="1"/>
      <w:marLeft w:val="0"/>
      <w:marRight w:val="0"/>
      <w:marTop w:val="0"/>
      <w:marBottom w:val="0"/>
      <w:divBdr>
        <w:top w:val="none" w:sz="0" w:space="0" w:color="auto"/>
        <w:left w:val="none" w:sz="0" w:space="0" w:color="auto"/>
        <w:bottom w:val="none" w:sz="0" w:space="0" w:color="auto"/>
        <w:right w:val="none" w:sz="0" w:space="0" w:color="auto"/>
      </w:divBdr>
      <w:divsChild>
        <w:div w:id="2119829785">
          <w:marLeft w:val="0"/>
          <w:marRight w:val="0"/>
          <w:marTop w:val="0"/>
          <w:marBottom w:val="0"/>
          <w:divBdr>
            <w:top w:val="none" w:sz="0" w:space="0" w:color="auto"/>
            <w:left w:val="none" w:sz="0" w:space="0" w:color="auto"/>
            <w:bottom w:val="none" w:sz="0" w:space="0" w:color="auto"/>
            <w:right w:val="none" w:sz="0" w:space="0" w:color="auto"/>
          </w:divBdr>
        </w:div>
      </w:divsChild>
    </w:div>
    <w:div w:id="452479645">
      <w:bodyDiv w:val="1"/>
      <w:marLeft w:val="0"/>
      <w:marRight w:val="0"/>
      <w:marTop w:val="0"/>
      <w:marBottom w:val="0"/>
      <w:divBdr>
        <w:top w:val="none" w:sz="0" w:space="0" w:color="auto"/>
        <w:left w:val="none" w:sz="0" w:space="0" w:color="auto"/>
        <w:bottom w:val="none" w:sz="0" w:space="0" w:color="auto"/>
        <w:right w:val="none" w:sz="0" w:space="0" w:color="auto"/>
      </w:divBdr>
    </w:div>
    <w:div w:id="455568911">
      <w:bodyDiv w:val="1"/>
      <w:marLeft w:val="0"/>
      <w:marRight w:val="0"/>
      <w:marTop w:val="0"/>
      <w:marBottom w:val="0"/>
      <w:divBdr>
        <w:top w:val="none" w:sz="0" w:space="0" w:color="auto"/>
        <w:left w:val="none" w:sz="0" w:space="0" w:color="auto"/>
        <w:bottom w:val="none" w:sz="0" w:space="0" w:color="auto"/>
        <w:right w:val="none" w:sz="0" w:space="0" w:color="auto"/>
      </w:divBdr>
    </w:div>
    <w:div w:id="457601282">
      <w:bodyDiv w:val="1"/>
      <w:marLeft w:val="0"/>
      <w:marRight w:val="0"/>
      <w:marTop w:val="0"/>
      <w:marBottom w:val="0"/>
      <w:divBdr>
        <w:top w:val="none" w:sz="0" w:space="0" w:color="auto"/>
        <w:left w:val="none" w:sz="0" w:space="0" w:color="auto"/>
        <w:bottom w:val="none" w:sz="0" w:space="0" w:color="auto"/>
        <w:right w:val="none" w:sz="0" w:space="0" w:color="auto"/>
      </w:divBdr>
    </w:div>
    <w:div w:id="460999735">
      <w:bodyDiv w:val="1"/>
      <w:marLeft w:val="0"/>
      <w:marRight w:val="0"/>
      <w:marTop w:val="0"/>
      <w:marBottom w:val="0"/>
      <w:divBdr>
        <w:top w:val="none" w:sz="0" w:space="0" w:color="auto"/>
        <w:left w:val="none" w:sz="0" w:space="0" w:color="auto"/>
        <w:bottom w:val="none" w:sz="0" w:space="0" w:color="auto"/>
        <w:right w:val="none" w:sz="0" w:space="0" w:color="auto"/>
      </w:divBdr>
    </w:div>
    <w:div w:id="461920546">
      <w:bodyDiv w:val="1"/>
      <w:marLeft w:val="0"/>
      <w:marRight w:val="0"/>
      <w:marTop w:val="0"/>
      <w:marBottom w:val="0"/>
      <w:divBdr>
        <w:top w:val="none" w:sz="0" w:space="0" w:color="auto"/>
        <w:left w:val="none" w:sz="0" w:space="0" w:color="auto"/>
        <w:bottom w:val="none" w:sz="0" w:space="0" w:color="auto"/>
        <w:right w:val="none" w:sz="0" w:space="0" w:color="auto"/>
      </w:divBdr>
    </w:div>
    <w:div w:id="477844194">
      <w:bodyDiv w:val="1"/>
      <w:marLeft w:val="0"/>
      <w:marRight w:val="0"/>
      <w:marTop w:val="0"/>
      <w:marBottom w:val="0"/>
      <w:divBdr>
        <w:top w:val="none" w:sz="0" w:space="0" w:color="auto"/>
        <w:left w:val="none" w:sz="0" w:space="0" w:color="auto"/>
        <w:bottom w:val="none" w:sz="0" w:space="0" w:color="auto"/>
        <w:right w:val="none" w:sz="0" w:space="0" w:color="auto"/>
      </w:divBdr>
    </w:div>
    <w:div w:id="490370827">
      <w:bodyDiv w:val="1"/>
      <w:marLeft w:val="0"/>
      <w:marRight w:val="0"/>
      <w:marTop w:val="0"/>
      <w:marBottom w:val="0"/>
      <w:divBdr>
        <w:top w:val="none" w:sz="0" w:space="0" w:color="auto"/>
        <w:left w:val="none" w:sz="0" w:space="0" w:color="auto"/>
        <w:bottom w:val="none" w:sz="0" w:space="0" w:color="auto"/>
        <w:right w:val="none" w:sz="0" w:space="0" w:color="auto"/>
      </w:divBdr>
    </w:div>
    <w:div w:id="492450142">
      <w:bodyDiv w:val="1"/>
      <w:marLeft w:val="0"/>
      <w:marRight w:val="0"/>
      <w:marTop w:val="0"/>
      <w:marBottom w:val="0"/>
      <w:divBdr>
        <w:top w:val="none" w:sz="0" w:space="0" w:color="auto"/>
        <w:left w:val="none" w:sz="0" w:space="0" w:color="auto"/>
        <w:bottom w:val="none" w:sz="0" w:space="0" w:color="auto"/>
        <w:right w:val="none" w:sz="0" w:space="0" w:color="auto"/>
      </w:divBdr>
    </w:div>
    <w:div w:id="502401108">
      <w:bodyDiv w:val="1"/>
      <w:marLeft w:val="0"/>
      <w:marRight w:val="0"/>
      <w:marTop w:val="0"/>
      <w:marBottom w:val="0"/>
      <w:divBdr>
        <w:top w:val="none" w:sz="0" w:space="0" w:color="auto"/>
        <w:left w:val="none" w:sz="0" w:space="0" w:color="auto"/>
        <w:bottom w:val="none" w:sz="0" w:space="0" w:color="auto"/>
        <w:right w:val="none" w:sz="0" w:space="0" w:color="auto"/>
      </w:divBdr>
    </w:div>
    <w:div w:id="517810526">
      <w:bodyDiv w:val="1"/>
      <w:marLeft w:val="0"/>
      <w:marRight w:val="0"/>
      <w:marTop w:val="0"/>
      <w:marBottom w:val="0"/>
      <w:divBdr>
        <w:top w:val="none" w:sz="0" w:space="0" w:color="auto"/>
        <w:left w:val="none" w:sz="0" w:space="0" w:color="auto"/>
        <w:bottom w:val="none" w:sz="0" w:space="0" w:color="auto"/>
        <w:right w:val="none" w:sz="0" w:space="0" w:color="auto"/>
      </w:divBdr>
    </w:div>
    <w:div w:id="524100069">
      <w:bodyDiv w:val="1"/>
      <w:marLeft w:val="0"/>
      <w:marRight w:val="0"/>
      <w:marTop w:val="0"/>
      <w:marBottom w:val="0"/>
      <w:divBdr>
        <w:top w:val="none" w:sz="0" w:space="0" w:color="auto"/>
        <w:left w:val="none" w:sz="0" w:space="0" w:color="auto"/>
        <w:bottom w:val="none" w:sz="0" w:space="0" w:color="auto"/>
        <w:right w:val="none" w:sz="0" w:space="0" w:color="auto"/>
      </w:divBdr>
    </w:div>
    <w:div w:id="528495952">
      <w:bodyDiv w:val="1"/>
      <w:marLeft w:val="0"/>
      <w:marRight w:val="0"/>
      <w:marTop w:val="0"/>
      <w:marBottom w:val="0"/>
      <w:divBdr>
        <w:top w:val="none" w:sz="0" w:space="0" w:color="auto"/>
        <w:left w:val="none" w:sz="0" w:space="0" w:color="auto"/>
        <w:bottom w:val="none" w:sz="0" w:space="0" w:color="auto"/>
        <w:right w:val="none" w:sz="0" w:space="0" w:color="auto"/>
      </w:divBdr>
    </w:div>
    <w:div w:id="529103817">
      <w:bodyDiv w:val="1"/>
      <w:marLeft w:val="0"/>
      <w:marRight w:val="0"/>
      <w:marTop w:val="0"/>
      <w:marBottom w:val="0"/>
      <w:divBdr>
        <w:top w:val="none" w:sz="0" w:space="0" w:color="auto"/>
        <w:left w:val="none" w:sz="0" w:space="0" w:color="auto"/>
        <w:bottom w:val="none" w:sz="0" w:space="0" w:color="auto"/>
        <w:right w:val="none" w:sz="0" w:space="0" w:color="auto"/>
      </w:divBdr>
    </w:div>
    <w:div w:id="532303788">
      <w:bodyDiv w:val="1"/>
      <w:marLeft w:val="0"/>
      <w:marRight w:val="0"/>
      <w:marTop w:val="0"/>
      <w:marBottom w:val="0"/>
      <w:divBdr>
        <w:top w:val="none" w:sz="0" w:space="0" w:color="auto"/>
        <w:left w:val="none" w:sz="0" w:space="0" w:color="auto"/>
        <w:bottom w:val="none" w:sz="0" w:space="0" w:color="auto"/>
        <w:right w:val="none" w:sz="0" w:space="0" w:color="auto"/>
      </w:divBdr>
      <w:divsChild>
        <w:div w:id="19206386">
          <w:marLeft w:val="0"/>
          <w:marRight w:val="0"/>
          <w:marTop w:val="0"/>
          <w:marBottom w:val="0"/>
          <w:divBdr>
            <w:top w:val="single" w:sz="2" w:space="0" w:color="auto"/>
            <w:left w:val="single" w:sz="2" w:space="0" w:color="auto"/>
            <w:bottom w:val="single" w:sz="2" w:space="0" w:color="auto"/>
            <w:right w:val="single" w:sz="2" w:space="0" w:color="auto"/>
          </w:divBdr>
          <w:divsChild>
            <w:div w:id="169916055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537471510">
      <w:bodyDiv w:val="1"/>
      <w:marLeft w:val="0"/>
      <w:marRight w:val="0"/>
      <w:marTop w:val="0"/>
      <w:marBottom w:val="0"/>
      <w:divBdr>
        <w:top w:val="none" w:sz="0" w:space="0" w:color="auto"/>
        <w:left w:val="none" w:sz="0" w:space="0" w:color="auto"/>
        <w:bottom w:val="none" w:sz="0" w:space="0" w:color="auto"/>
        <w:right w:val="none" w:sz="0" w:space="0" w:color="auto"/>
      </w:divBdr>
    </w:div>
    <w:div w:id="542522483">
      <w:bodyDiv w:val="1"/>
      <w:marLeft w:val="0"/>
      <w:marRight w:val="0"/>
      <w:marTop w:val="0"/>
      <w:marBottom w:val="0"/>
      <w:divBdr>
        <w:top w:val="none" w:sz="0" w:space="0" w:color="auto"/>
        <w:left w:val="none" w:sz="0" w:space="0" w:color="auto"/>
        <w:bottom w:val="none" w:sz="0" w:space="0" w:color="auto"/>
        <w:right w:val="none" w:sz="0" w:space="0" w:color="auto"/>
      </w:divBdr>
    </w:div>
    <w:div w:id="543057344">
      <w:bodyDiv w:val="1"/>
      <w:marLeft w:val="0"/>
      <w:marRight w:val="0"/>
      <w:marTop w:val="0"/>
      <w:marBottom w:val="0"/>
      <w:divBdr>
        <w:top w:val="none" w:sz="0" w:space="0" w:color="auto"/>
        <w:left w:val="none" w:sz="0" w:space="0" w:color="auto"/>
        <w:bottom w:val="none" w:sz="0" w:space="0" w:color="auto"/>
        <w:right w:val="none" w:sz="0" w:space="0" w:color="auto"/>
      </w:divBdr>
    </w:div>
    <w:div w:id="548348230">
      <w:bodyDiv w:val="1"/>
      <w:marLeft w:val="0"/>
      <w:marRight w:val="0"/>
      <w:marTop w:val="0"/>
      <w:marBottom w:val="0"/>
      <w:divBdr>
        <w:top w:val="none" w:sz="0" w:space="0" w:color="auto"/>
        <w:left w:val="none" w:sz="0" w:space="0" w:color="auto"/>
        <w:bottom w:val="none" w:sz="0" w:space="0" w:color="auto"/>
        <w:right w:val="none" w:sz="0" w:space="0" w:color="auto"/>
      </w:divBdr>
      <w:divsChild>
        <w:div w:id="1380933876">
          <w:marLeft w:val="0"/>
          <w:marRight w:val="0"/>
          <w:marTop w:val="0"/>
          <w:marBottom w:val="0"/>
          <w:divBdr>
            <w:top w:val="single" w:sz="2" w:space="0" w:color="auto"/>
            <w:left w:val="single" w:sz="2" w:space="0" w:color="auto"/>
            <w:bottom w:val="single" w:sz="2" w:space="0" w:color="auto"/>
            <w:right w:val="single" w:sz="2" w:space="0" w:color="auto"/>
          </w:divBdr>
          <w:divsChild>
            <w:div w:id="38748340">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555118769">
      <w:bodyDiv w:val="1"/>
      <w:marLeft w:val="0"/>
      <w:marRight w:val="0"/>
      <w:marTop w:val="0"/>
      <w:marBottom w:val="0"/>
      <w:divBdr>
        <w:top w:val="none" w:sz="0" w:space="0" w:color="auto"/>
        <w:left w:val="none" w:sz="0" w:space="0" w:color="auto"/>
        <w:bottom w:val="none" w:sz="0" w:space="0" w:color="auto"/>
        <w:right w:val="none" w:sz="0" w:space="0" w:color="auto"/>
      </w:divBdr>
    </w:div>
    <w:div w:id="556429651">
      <w:bodyDiv w:val="1"/>
      <w:marLeft w:val="0"/>
      <w:marRight w:val="0"/>
      <w:marTop w:val="0"/>
      <w:marBottom w:val="0"/>
      <w:divBdr>
        <w:top w:val="none" w:sz="0" w:space="0" w:color="auto"/>
        <w:left w:val="none" w:sz="0" w:space="0" w:color="auto"/>
        <w:bottom w:val="none" w:sz="0" w:space="0" w:color="auto"/>
        <w:right w:val="none" w:sz="0" w:space="0" w:color="auto"/>
      </w:divBdr>
    </w:div>
    <w:div w:id="556623696">
      <w:bodyDiv w:val="1"/>
      <w:marLeft w:val="0"/>
      <w:marRight w:val="0"/>
      <w:marTop w:val="0"/>
      <w:marBottom w:val="0"/>
      <w:divBdr>
        <w:top w:val="none" w:sz="0" w:space="0" w:color="auto"/>
        <w:left w:val="none" w:sz="0" w:space="0" w:color="auto"/>
        <w:bottom w:val="none" w:sz="0" w:space="0" w:color="auto"/>
        <w:right w:val="none" w:sz="0" w:space="0" w:color="auto"/>
      </w:divBdr>
    </w:div>
    <w:div w:id="566381810">
      <w:bodyDiv w:val="1"/>
      <w:marLeft w:val="0"/>
      <w:marRight w:val="0"/>
      <w:marTop w:val="0"/>
      <w:marBottom w:val="0"/>
      <w:divBdr>
        <w:top w:val="none" w:sz="0" w:space="0" w:color="auto"/>
        <w:left w:val="none" w:sz="0" w:space="0" w:color="auto"/>
        <w:bottom w:val="none" w:sz="0" w:space="0" w:color="auto"/>
        <w:right w:val="none" w:sz="0" w:space="0" w:color="auto"/>
      </w:divBdr>
    </w:div>
    <w:div w:id="570581910">
      <w:bodyDiv w:val="1"/>
      <w:marLeft w:val="0"/>
      <w:marRight w:val="0"/>
      <w:marTop w:val="0"/>
      <w:marBottom w:val="0"/>
      <w:divBdr>
        <w:top w:val="none" w:sz="0" w:space="0" w:color="auto"/>
        <w:left w:val="none" w:sz="0" w:space="0" w:color="auto"/>
        <w:bottom w:val="none" w:sz="0" w:space="0" w:color="auto"/>
        <w:right w:val="none" w:sz="0" w:space="0" w:color="auto"/>
      </w:divBdr>
    </w:div>
    <w:div w:id="586698062">
      <w:bodyDiv w:val="1"/>
      <w:marLeft w:val="0"/>
      <w:marRight w:val="0"/>
      <w:marTop w:val="0"/>
      <w:marBottom w:val="0"/>
      <w:divBdr>
        <w:top w:val="none" w:sz="0" w:space="0" w:color="auto"/>
        <w:left w:val="none" w:sz="0" w:space="0" w:color="auto"/>
        <w:bottom w:val="none" w:sz="0" w:space="0" w:color="auto"/>
        <w:right w:val="none" w:sz="0" w:space="0" w:color="auto"/>
      </w:divBdr>
    </w:div>
    <w:div w:id="592014581">
      <w:bodyDiv w:val="1"/>
      <w:marLeft w:val="0"/>
      <w:marRight w:val="0"/>
      <w:marTop w:val="0"/>
      <w:marBottom w:val="0"/>
      <w:divBdr>
        <w:top w:val="none" w:sz="0" w:space="0" w:color="auto"/>
        <w:left w:val="none" w:sz="0" w:space="0" w:color="auto"/>
        <w:bottom w:val="none" w:sz="0" w:space="0" w:color="auto"/>
        <w:right w:val="none" w:sz="0" w:space="0" w:color="auto"/>
      </w:divBdr>
    </w:div>
    <w:div w:id="598173889">
      <w:bodyDiv w:val="1"/>
      <w:marLeft w:val="0"/>
      <w:marRight w:val="0"/>
      <w:marTop w:val="0"/>
      <w:marBottom w:val="0"/>
      <w:divBdr>
        <w:top w:val="none" w:sz="0" w:space="0" w:color="auto"/>
        <w:left w:val="none" w:sz="0" w:space="0" w:color="auto"/>
        <w:bottom w:val="none" w:sz="0" w:space="0" w:color="auto"/>
        <w:right w:val="none" w:sz="0" w:space="0" w:color="auto"/>
      </w:divBdr>
    </w:div>
    <w:div w:id="604268830">
      <w:bodyDiv w:val="1"/>
      <w:marLeft w:val="0"/>
      <w:marRight w:val="0"/>
      <w:marTop w:val="0"/>
      <w:marBottom w:val="0"/>
      <w:divBdr>
        <w:top w:val="none" w:sz="0" w:space="0" w:color="auto"/>
        <w:left w:val="none" w:sz="0" w:space="0" w:color="auto"/>
        <w:bottom w:val="none" w:sz="0" w:space="0" w:color="auto"/>
        <w:right w:val="none" w:sz="0" w:space="0" w:color="auto"/>
      </w:divBdr>
      <w:divsChild>
        <w:div w:id="40860982">
          <w:marLeft w:val="0"/>
          <w:marRight w:val="0"/>
          <w:marTop w:val="0"/>
          <w:marBottom w:val="0"/>
          <w:divBdr>
            <w:top w:val="single" w:sz="2" w:space="0" w:color="auto"/>
            <w:left w:val="single" w:sz="2" w:space="0" w:color="auto"/>
            <w:bottom w:val="single" w:sz="2" w:space="0" w:color="auto"/>
            <w:right w:val="single" w:sz="2" w:space="0" w:color="auto"/>
          </w:divBdr>
          <w:divsChild>
            <w:div w:id="495457371">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604728279">
      <w:bodyDiv w:val="1"/>
      <w:marLeft w:val="0"/>
      <w:marRight w:val="0"/>
      <w:marTop w:val="0"/>
      <w:marBottom w:val="0"/>
      <w:divBdr>
        <w:top w:val="none" w:sz="0" w:space="0" w:color="auto"/>
        <w:left w:val="none" w:sz="0" w:space="0" w:color="auto"/>
        <w:bottom w:val="none" w:sz="0" w:space="0" w:color="auto"/>
        <w:right w:val="none" w:sz="0" w:space="0" w:color="auto"/>
      </w:divBdr>
    </w:div>
    <w:div w:id="607935803">
      <w:bodyDiv w:val="1"/>
      <w:marLeft w:val="0"/>
      <w:marRight w:val="0"/>
      <w:marTop w:val="0"/>
      <w:marBottom w:val="0"/>
      <w:divBdr>
        <w:top w:val="none" w:sz="0" w:space="0" w:color="auto"/>
        <w:left w:val="none" w:sz="0" w:space="0" w:color="auto"/>
        <w:bottom w:val="none" w:sz="0" w:space="0" w:color="auto"/>
        <w:right w:val="none" w:sz="0" w:space="0" w:color="auto"/>
      </w:divBdr>
    </w:div>
    <w:div w:id="608466840">
      <w:bodyDiv w:val="1"/>
      <w:marLeft w:val="0"/>
      <w:marRight w:val="0"/>
      <w:marTop w:val="0"/>
      <w:marBottom w:val="0"/>
      <w:divBdr>
        <w:top w:val="none" w:sz="0" w:space="0" w:color="auto"/>
        <w:left w:val="none" w:sz="0" w:space="0" w:color="auto"/>
        <w:bottom w:val="none" w:sz="0" w:space="0" w:color="auto"/>
        <w:right w:val="none" w:sz="0" w:space="0" w:color="auto"/>
      </w:divBdr>
    </w:div>
    <w:div w:id="660082314">
      <w:bodyDiv w:val="1"/>
      <w:marLeft w:val="0"/>
      <w:marRight w:val="0"/>
      <w:marTop w:val="0"/>
      <w:marBottom w:val="0"/>
      <w:divBdr>
        <w:top w:val="none" w:sz="0" w:space="0" w:color="auto"/>
        <w:left w:val="none" w:sz="0" w:space="0" w:color="auto"/>
        <w:bottom w:val="none" w:sz="0" w:space="0" w:color="auto"/>
        <w:right w:val="none" w:sz="0" w:space="0" w:color="auto"/>
      </w:divBdr>
    </w:div>
    <w:div w:id="686057180">
      <w:bodyDiv w:val="1"/>
      <w:marLeft w:val="0"/>
      <w:marRight w:val="0"/>
      <w:marTop w:val="0"/>
      <w:marBottom w:val="0"/>
      <w:divBdr>
        <w:top w:val="none" w:sz="0" w:space="0" w:color="auto"/>
        <w:left w:val="none" w:sz="0" w:space="0" w:color="auto"/>
        <w:bottom w:val="none" w:sz="0" w:space="0" w:color="auto"/>
        <w:right w:val="none" w:sz="0" w:space="0" w:color="auto"/>
      </w:divBdr>
    </w:div>
    <w:div w:id="690030109">
      <w:bodyDiv w:val="1"/>
      <w:marLeft w:val="0"/>
      <w:marRight w:val="0"/>
      <w:marTop w:val="0"/>
      <w:marBottom w:val="0"/>
      <w:divBdr>
        <w:top w:val="none" w:sz="0" w:space="0" w:color="auto"/>
        <w:left w:val="none" w:sz="0" w:space="0" w:color="auto"/>
        <w:bottom w:val="none" w:sz="0" w:space="0" w:color="auto"/>
        <w:right w:val="none" w:sz="0" w:space="0" w:color="auto"/>
      </w:divBdr>
      <w:divsChild>
        <w:div w:id="490147532">
          <w:marLeft w:val="0"/>
          <w:marRight w:val="0"/>
          <w:marTop w:val="0"/>
          <w:marBottom w:val="0"/>
          <w:divBdr>
            <w:top w:val="single" w:sz="2" w:space="0" w:color="auto"/>
            <w:left w:val="single" w:sz="2" w:space="0" w:color="auto"/>
            <w:bottom w:val="single" w:sz="2" w:space="0" w:color="auto"/>
            <w:right w:val="single" w:sz="2" w:space="0" w:color="auto"/>
          </w:divBdr>
          <w:divsChild>
            <w:div w:id="496380688">
              <w:marLeft w:val="0"/>
              <w:marRight w:val="0"/>
              <w:marTop w:val="0"/>
              <w:marBottom w:val="0"/>
              <w:divBdr>
                <w:top w:val="single" w:sz="2" w:space="0" w:color="auto"/>
                <w:left w:val="single" w:sz="2" w:space="0" w:color="auto"/>
                <w:bottom w:val="single" w:sz="2" w:space="0" w:color="auto"/>
                <w:right w:val="single" w:sz="2" w:space="0" w:color="auto"/>
              </w:divBdr>
            </w:div>
          </w:divsChild>
        </w:div>
        <w:div w:id="1471097636">
          <w:marLeft w:val="0"/>
          <w:marRight w:val="0"/>
          <w:marTop w:val="0"/>
          <w:marBottom w:val="0"/>
          <w:divBdr>
            <w:top w:val="single" w:sz="2" w:space="0" w:color="auto"/>
            <w:left w:val="single" w:sz="2" w:space="0" w:color="auto"/>
            <w:bottom w:val="single" w:sz="2" w:space="0" w:color="auto"/>
            <w:right w:val="single" w:sz="2" w:space="0" w:color="auto"/>
          </w:divBdr>
          <w:divsChild>
            <w:div w:id="1025062267">
              <w:marLeft w:val="0"/>
              <w:marRight w:val="0"/>
              <w:marTop w:val="0"/>
              <w:marBottom w:val="0"/>
              <w:divBdr>
                <w:top w:val="single" w:sz="2" w:space="0" w:color="auto"/>
                <w:left w:val="single" w:sz="2" w:space="0" w:color="auto"/>
                <w:bottom w:val="single" w:sz="2" w:space="0" w:color="auto"/>
                <w:right w:val="single" w:sz="2" w:space="0" w:color="auto"/>
              </w:divBdr>
            </w:div>
          </w:divsChild>
        </w:div>
        <w:div w:id="1920629663">
          <w:marLeft w:val="0"/>
          <w:marRight w:val="0"/>
          <w:marTop w:val="0"/>
          <w:marBottom w:val="0"/>
          <w:divBdr>
            <w:top w:val="single" w:sz="2" w:space="0" w:color="auto"/>
            <w:left w:val="single" w:sz="2" w:space="0" w:color="auto"/>
            <w:bottom w:val="single" w:sz="2" w:space="0" w:color="auto"/>
            <w:right w:val="single" w:sz="2" w:space="0" w:color="auto"/>
          </w:divBdr>
          <w:divsChild>
            <w:div w:id="2020891871">
              <w:marLeft w:val="0"/>
              <w:marRight w:val="0"/>
              <w:marTop w:val="0"/>
              <w:marBottom w:val="0"/>
              <w:divBdr>
                <w:top w:val="single" w:sz="2" w:space="0" w:color="auto"/>
                <w:left w:val="single" w:sz="2" w:space="0" w:color="auto"/>
                <w:bottom w:val="single" w:sz="2" w:space="0" w:color="auto"/>
                <w:right w:val="single" w:sz="2" w:space="0" w:color="auto"/>
              </w:divBdr>
            </w:div>
          </w:divsChild>
        </w:div>
        <w:div w:id="2016805722">
          <w:marLeft w:val="0"/>
          <w:marRight w:val="0"/>
          <w:marTop w:val="0"/>
          <w:marBottom w:val="0"/>
          <w:divBdr>
            <w:top w:val="single" w:sz="2" w:space="0" w:color="auto"/>
            <w:left w:val="single" w:sz="2" w:space="0" w:color="auto"/>
            <w:bottom w:val="single" w:sz="2" w:space="0" w:color="auto"/>
            <w:right w:val="single" w:sz="2" w:space="0" w:color="auto"/>
          </w:divBdr>
          <w:divsChild>
            <w:div w:id="255483974">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710032510">
      <w:bodyDiv w:val="1"/>
      <w:marLeft w:val="0"/>
      <w:marRight w:val="0"/>
      <w:marTop w:val="0"/>
      <w:marBottom w:val="0"/>
      <w:divBdr>
        <w:top w:val="none" w:sz="0" w:space="0" w:color="auto"/>
        <w:left w:val="none" w:sz="0" w:space="0" w:color="auto"/>
        <w:bottom w:val="none" w:sz="0" w:space="0" w:color="auto"/>
        <w:right w:val="none" w:sz="0" w:space="0" w:color="auto"/>
      </w:divBdr>
    </w:div>
    <w:div w:id="711731344">
      <w:bodyDiv w:val="1"/>
      <w:marLeft w:val="0"/>
      <w:marRight w:val="0"/>
      <w:marTop w:val="0"/>
      <w:marBottom w:val="0"/>
      <w:divBdr>
        <w:top w:val="none" w:sz="0" w:space="0" w:color="auto"/>
        <w:left w:val="none" w:sz="0" w:space="0" w:color="auto"/>
        <w:bottom w:val="none" w:sz="0" w:space="0" w:color="auto"/>
        <w:right w:val="none" w:sz="0" w:space="0" w:color="auto"/>
      </w:divBdr>
    </w:div>
    <w:div w:id="714158257">
      <w:bodyDiv w:val="1"/>
      <w:marLeft w:val="0"/>
      <w:marRight w:val="0"/>
      <w:marTop w:val="0"/>
      <w:marBottom w:val="0"/>
      <w:divBdr>
        <w:top w:val="none" w:sz="0" w:space="0" w:color="auto"/>
        <w:left w:val="none" w:sz="0" w:space="0" w:color="auto"/>
        <w:bottom w:val="none" w:sz="0" w:space="0" w:color="auto"/>
        <w:right w:val="none" w:sz="0" w:space="0" w:color="auto"/>
      </w:divBdr>
    </w:div>
    <w:div w:id="720444874">
      <w:bodyDiv w:val="1"/>
      <w:marLeft w:val="0"/>
      <w:marRight w:val="0"/>
      <w:marTop w:val="0"/>
      <w:marBottom w:val="0"/>
      <w:divBdr>
        <w:top w:val="none" w:sz="0" w:space="0" w:color="auto"/>
        <w:left w:val="none" w:sz="0" w:space="0" w:color="auto"/>
        <w:bottom w:val="none" w:sz="0" w:space="0" w:color="auto"/>
        <w:right w:val="none" w:sz="0" w:space="0" w:color="auto"/>
      </w:divBdr>
    </w:div>
    <w:div w:id="722296809">
      <w:bodyDiv w:val="1"/>
      <w:marLeft w:val="0"/>
      <w:marRight w:val="0"/>
      <w:marTop w:val="0"/>
      <w:marBottom w:val="0"/>
      <w:divBdr>
        <w:top w:val="none" w:sz="0" w:space="0" w:color="auto"/>
        <w:left w:val="none" w:sz="0" w:space="0" w:color="auto"/>
        <w:bottom w:val="none" w:sz="0" w:space="0" w:color="auto"/>
        <w:right w:val="none" w:sz="0" w:space="0" w:color="auto"/>
      </w:divBdr>
    </w:div>
    <w:div w:id="727412847">
      <w:bodyDiv w:val="1"/>
      <w:marLeft w:val="0"/>
      <w:marRight w:val="0"/>
      <w:marTop w:val="0"/>
      <w:marBottom w:val="0"/>
      <w:divBdr>
        <w:top w:val="none" w:sz="0" w:space="0" w:color="auto"/>
        <w:left w:val="none" w:sz="0" w:space="0" w:color="auto"/>
        <w:bottom w:val="none" w:sz="0" w:space="0" w:color="auto"/>
        <w:right w:val="none" w:sz="0" w:space="0" w:color="auto"/>
      </w:divBdr>
    </w:div>
    <w:div w:id="740643708">
      <w:bodyDiv w:val="1"/>
      <w:marLeft w:val="0"/>
      <w:marRight w:val="0"/>
      <w:marTop w:val="0"/>
      <w:marBottom w:val="0"/>
      <w:divBdr>
        <w:top w:val="none" w:sz="0" w:space="0" w:color="auto"/>
        <w:left w:val="none" w:sz="0" w:space="0" w:color="auto"/>
        <w:bottom w:val="none" w:sz="0" w:space="0" w:color="auto"/>
        <w:right w:val="none" w:sz="0" w:space="0" w:color="auto"/>
      </w:divBdr>
    </w:div>
    <w:div w:id="749547412">
      <w:bodyDiv w:val="1"/>
      <w:marLeft w:val="0"/>
      <w:marRight w:val="0"/>
      <w:marTop w:val="0"/>
      <w:marBottom w:val="0"/>
      <w:divBdr>
        <w:top w:val="none" w:sz="0" w:space="0" w:color="auto"/>
        <w:left w:val="none" w:sz="0" w:space="0" w:color="auto"/>
        <w:bottom w:val="none" w:sz="0" w:space="0" w:color="auto"/>
        <w:right w:val="none" w:sz="0" w:space="0" w:color="auto"/>
      </w:divBdr>
    </w:div>
    <w:div w:id="753669529">
      <w:bodyDiv w:val="1"/>
      <w:marLeft w:val="0"/>
      <w:marRight w:val="0"/>
      <w:marTop w:val="0"/>
      <w:marBottom w:val="0"/>
      <w:divBdr>
        <w:top w:val="none" w:sz="0" w:space="0" w:color="auto"/>
        <w:left w:val="none" w:sz="0" w:space="0" w:color="auto"/>
        <w:bottom w:val="none" w:sz="0" w:space="0" w:color="auto"/>
        <w:right w:val="none" w:sz="0" w:space="0" w:color="auto"/>
      </w:divBdr>
    </w:div>
    <w:div w:id="754936544">
      <w:bodyDiv w:val="1"/>
      <w:marLeft w:val="0"/>
      <w:marRight w:val="0"/>
      <w:marTop w:val="0"/>
      <w:marBottom w:val="0"/>
      <w:divBdr>
        <w:top w:val="none" w:sz="0" w:space="0" w:color="auto"/>
        <w:left w:val="none" w:sz="0" w:space="0" w:color="auto"/>
        <w:bottom w:val="none" w:sz="0" w:space="0" w:color="auto"/>
        <w:right w:val="none" w:sz="0" w:space="0" w:color="auto"/>
      </w:divBdr>
    </w:div>
    <w:div w:id="760369451">
      <w:bodyDiv w:val="1"/>
      <w:marLeft w:val="0"/>
      <w:marRight w:val="0"/>
      <w:marTop w:val="0"/>
      <w:marBottom w:val="0"/>
      <w:divBdr>
        <w:top w:val="none" w:sz="0" w:space="0" w:color="auto"/>
        <w:left w:val="none" w:sz="0" w:space="0" w:color="auto"/>
        <w:bottom w:val="none" w:sz="0" w:space="0" w:color="auto"/>
        <w:right w:val="none" w:sz="0" w:space="0" w:color="auto"/>
      </w:divBdr>
    </w:div>
    <w:div w:id="764153607">
      <w:bodyDiv w:val="1"/>
      <w:marLeft w:val="0"/>
      <w:marRight w:val="0"/>
      <w:marTop w:val="0"/>
      <w:marBottom w:val="0"/>
      <w:divBdr>
        <w:top w:val="none" w:sz="0" w:space="0" w:color="auto"/>
        <w:left w:val="none" w:sz="0" w:space="0" w:color="auto"/>
        <w:bottom w:val="none" w:sz="0" w:space="0" w:color="auto"/>
        <w:right w:val="none" w:sz="0" w:space="0" w:color="auto"/>
      </w:divBdr>
    </w:div>
    <w:div w:id="788469565">
      <w:bodyDiv w:val="1"/>
      <w:marLeft w:val="0"/>
      <w:marRight w:val="0"/>
      <w:marTop w:val="0"/>
      <w:marBottom w:val="0"/>
      <w:divBdr>
        <w:top w:val="none" w:sz="0" w:space="0" w:color="auto"/>
        <w:left w:val="none" w:sz="0" w:space="0" w:color="auto"/>
        <w:bottom w:val="none" w:sz="0" w:space="0" w:color="auto"/>
        <w:right w:val="none" w:sz="0" w:space="0" w:color="auto"/>
      </w:divBdr>
    </w:div>
    <w:div w:id="793446035">
      <w:bodyDiv w:val="1"/>
      <w:marLeft w:val="0"/>
      <w:marRight w:val="0"/>
      <w:marTop w:val="0"/>
      <w:marBottom w:val="0"/>
      <w:divBdr>
        <w:top w:val="none" w:sz="0" w:space="0" w:color="auto"/>
        <w:left w:val="none" w:sz="0" w:space="0" w:color="auto"/>
        <w:bottom w:val="none" w:sz="0" w:space="0" w:color="auto"/>
        <w:right w:val="none" w:sz="0" w:space="0" w:color="auto"/>
      </w:divBdr>
    </w:div>
    <w:div w:id="819611394">
      <w:bodyDiv w:val="1"/>
      <w:marLeft w:val="0"/>
      <w:marRight w:val="0"/>
      <w:marTop w:val="0"/>
      <w:marBottom w:val="0"/>
      <w:divBdr>
        <w:top w:val="none" w:sz="0" w:space="0" w:color="auto"/>
        <w:left w:val="none" w:sz="0" w:space="0" w:color="auto"/>
        <w:bottom w:val="none" w:sz="0" w:space="0" w:color="auto"/>
        <w:right w:val="none" w:sz="0" w:space="0" w:color="auto"/>
      </w:divBdr>
    </w:div>
    <w:div w:id="823090002">
      <w:bodyDiv w:val="1"/>
      <w:marLeft w:val="0"/>
      <w:marRight w:val="0"/>
      <w:marTop w:val="0"/>
      <w:marBottom w:val="0"/>
      <w:divBdr>
        <w:top w:val="none" w:sz="0" w:space="0" w:color="auto"/>
        <w:left w:val="none" w:sz="0" w:space="0" w:color="auto"/>
        <w:bottom w:val="none" w:sz="0" w:space="0" w:color="auto"/>
        <w:right w:val="none" w:sz="0" w:space="0" w:color="auto"/>
      </w:divBdr>
    </w:div>
    <w:div w:id="824664535">
      <w:bodyDiv w:val="1"/>
      <w:marLeft w:val="0"/>
      <w:marRight w:val="0"/>
      <w:marTop w:val="0"/>
      <w:marBottom w:val="0"/>
      <w:divBdr>
        <w:top w:val="none" w:sz="0" w:space="0" w:color="auto"/>
        <w:left w:val="none" w:sz="0" w:space="0" w:color="auto"/>
        <w:bottom w:val="none" w:sz="0" w:space="0" w:color="auto"/>
        <w:right w:val="none" w:sz="0" w:space="0" w:color="auto"/>
      </w:divBdr>
    </w:div>
    <w:div w:id="827326553">
      <w:bodyDiv w:val="1"/>
      <w:marLeft w:val="0"/>
      <w:marRight w:val="0"/>
      <w:marTop w:val="0"/>
      <w:marBottom w:val="0"/>
      <w:divBdr>
        <w:top w:val="none" w:sz="0" w:space="0" w:color="auto"/>
        <w:left w:val="none" w:sz="0" w:space="0" w:color="auto"/>
        <w:bottom w:val="none" w:sz="0" w:space="0" w:color="auto"/>
        <w:right w:val="none" w:sz="0" w:space="0" w:color="auto"/>
      </w:divBdr>
    </w:div>
    <w:div w:id="828209141">
      <w:bodyDiv w:val="1"/>
      <w:marLeft w:val="0"/>
      <w:marRight w:val="0"/>
      <w:marTop w:val="0"/>
      <w:marBottom w:val="0"/>
      <w:divBdr>
        <w:top w:val="none" w:sz="0" w:space="0" w:color="auto"/>
        <w:left w:val="none" w:sz="0" w:space="0" w:color="auto"/>
        <w:bottom w:val="none" w:sz="0" w:space="0" w:color="auto"/>
        <w:right w:val="none" w:sz="0" w:space="0" w:color="auto"/>
      </w:divBdr>
      <w:divsChild>
        <w:div w:id="1154033266">
          <w:marLeft w:val="0"/>
          <w:marRight w:val="0"/>
          <w:marTop w:val="0"/>
          <w:marBottom w:val="0"/>
          <w:divBdr>
            <w:top w:val="single" w:sz="2" w:space="0" w:color="auto"/>
            <w:left w:val="single" w:sz="2" w:space="0" w:color="auto"/>
            <w:bottom w:val="single" w:sz="2" w:space="0" w:color="auto"/>
            <w:right w:val="single" w:sz="2" w:space="0" w:color="auto"/>
          </w:divBdr>
          <w:divsChild>
            <w:div w:id="197783625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828860729">
      <w:bodyDiv w:val="1"/>
      <w:marLeft w:val="0"/>
      <w:marRight w:val="0"/>
      <w:marTop w:val="0"/>
      <w:marBottom w:val="0"/>
      <w:divBdr>
        <w:top w:val="none" w:sz="0" w:space="0" w:color="auto"/>
        <w:left w:val="none" w:sz="0" w:space="0" w:color="auto"/>
        <w:bottom w:val="none" w:sz="0" w:space="0" w:color="auto"/>
        <w:right w:val="none" w:sz="0" w:space="0" w:color="auto"/>
      </w:divBdr>
    </w:div>
    <w:div w:id="833036621">
      <w:bodyDiv w:val="1"/>
      <w:marLeft w:val="0"/>
      <w:marRight w:val="0"/>
      <w:marTop w:val="0"/>
      <w:marBottom w:val="0"/>
      <w:divBdr>
        <w:top w:val="none" w:sz="0" w:space="0" w:color="auto"/>
        <w:left w:val="none" w:sz="0" w:space="0" w:color="auto"/>
        <w:bottom w:val="none" w:sz="0" w:space="0" w:color="auto"/>
        <w:right w:val="none" w:sz="0" w:space="0" w:color="auto"/>
      </w:divBdr>
    </w:div>
    <w:div w:id="833227087">
      <w:bodyDiv w:val="1"/>
      <w:marLeft w:val="0"/>
      <w:marRight w:val="0"/>
      <w:marTop w:val="0"/>
      <w:marBottom w:val="0"/>
      <w:divBdr>
        <w:top w:val="none" w:sz="0" w:space="0" w:color="auto"/>
        <w:left w:val="none" w:sz="0" w:space="0" w:color="auto"/>
        <w:bottom w:val="none" w:sz="0" w:space="0" w:color="auto"/>
        <w:right w:val="none" w:sz="0" w:space="0" w:color="auto"/>
      </w:divBdr>
    </w:div>
    <w:div w:id="839734879">
      <w:bodyDiv w:val="1"/>
      <w:marLeft w:val="0"/>
      <w:marRight w:val="0"/>
      <w:marTop w:val="0"/>
      <w:marBottom w:val="0"/>
      <w:divBdr>
        <w:top w:val="none" w:sz="0" w:space="0" w:color="auto"/>
        <w:left w:val="none" w:sz="0" w:space="0" w:color="auto"/>
        <w:bottom w:val="none" w:sz="0" w:space="0" w:color="auto"/>
        <w:right w:val="none" w:sz="0" w:space="0" w:color="auto"/>
      </w:divBdr>
    </w:div>
    <w:div w:id="846093895">
      <w:bodyDiv w:val="1"/>
      <w:marLeft w:val="0"/>
      <w:marRight w:val="0"/>
      <w:marTop w:val="0"/>
      <w:marBottom w:val="0"/>
      <w:divBdr>
        <w:top w:val="none" w:sz="0" w:space="0" w:color="auto"/>
        <w:left w:val="none" w:sz="0" w:space="0" w:color="auto"/>
        <w:bottom w:val="none" w:sz="0" w:space="0" w:color="auto"/>
        <w:right w:val="none" w:sz="0" w:space="0" w:color="auto"/>
      </w:divBdr>
    </w:div>
    <w:div w:id="860704321">
      <w:bodyDiv w:val="1"/>
      <w:marLeft w:val="0"/>
      <w:marRight w:val="0"/>
      <w:marTop w:val="0"/>
      <w:marBottom w:val="0"/>
      <w:divBdr>
        <w:top w:val="none" w:sz="0" w:space="0" w:color="auto"/>
        <w:left w:val="none" w:sz="0" w:space="0" w:color="auto"/>
        <w:bottom w:val="none" w:sz="0" w:space="0" w:color="auto"/>
        <w:right w:val="none" w:sz="0" w:space="0" w:color="auto"/>
      </w:divBdr>
    </w:div>
    <w:div w:id="870143020">
      <w:bodyDiv w:val="1"/>
      <w:marLeft w:val="0"/>
      <w:marRight w:val="0"/>
      <w:marTop w:val="0"/>
      <w:marBottom w:val="0"/>
      <w:divBdr>
        <w:top w:val="none" w:sz="0" w:space="0" w:color="auto"/>
        <w:left w:val="none" w:sz="0" w:space="0" w:color="auto"/>
        <w:bottom w:val="none" w:sz="0" w:space="0" w:color="auto"/>
        <w:right w:val="none" w:sz="0" w:space="0" w:color="auto"/>
      </w:divBdr>
    </w:div>
    <w:div w:id="877357844">
      <w:bodyDiv w:val="1"/>
      <w:marLeft w:val="0"/>
      <w:marRight w:val="0"/>
      <w:marTop w:val="0"/>
      <w:marBottom w:val="0"/>
      <w:divBdr>
        <w:top w:val="none" w:sz="0" w:space="0" w:color="auto"/>
        <w:left w:val="none" w:sz="0" w:space="0" w:color="auto"/>
        <w:bottom w:val="none" w:sz="0" w:space="0" w:color="auto"/>
        <w:right w:val="none" w:sz="0" w:space="0" w:color="auto"/>
      </w:divBdr>
    </w:div>
    <w:div w:id="878475384">
      <w:bodyDiv w:val="1"/>
      <w:marLeft w:val="0"/>
      <w:marRight w:val="0"/>
      <w:marTop w:val="0"/>
      <w:marBottom w:val="0"/>
      <w:divBdr>
        <w:top w:val="none" w:sz="0" w:space="0" w:color="auto"/>
        <w:left w:val="none" w:sz="0" w:space="0" w:color="auto"/>
        <w:bottom w:val="none" w:sz="0" w:space="0" w:color="auto"/>
        <w:right w:val="none" w:sz="0" w:space="0" w:color="auto"/>
      </w:divBdr>
    </w:div>
    <w:div w:id="888222146">
      <w:bodyDiv w:val="1"/>
      <w:marLeft w:val="0"/>
      <w:marRight w:val="0"/>
      <w:marTop w:val="0"/>
      <w:marBottom w:val="0"/>
      <w:divBdr>
        <w:top w:val="none" w:sz="0" w:space="0" w:color="auto"/>
        <w:left w:val="none" w:sz="0" w:space="0" w:color="auto"/>
        <w:bottom w:val="none" w:sz="0" w:space="0" w:color="auto"/>
        <w:right w:val="none" w:sz="0" w:space="0" w:color="auto"/>
      </w:divBdr>
    </w:div>
    <w:div w:id="913467168">
      <w:bodyDiv w:val="1"/>
      <w:marLeft w:val="0"/>
      <w:marRight w:val="0"/>
      <w:marTop w:val="0"/>
      <w:marBottom w:val="0"/>
      <w:divBdr>
        <w:top w:val="none" w:sz="0" w:space="0" w:color="auto"/>
        <w:left w:val="none" w:sz="0" w:space="0" w:color="auto"/>
        <w:bottom w:val="none" w:sz="0" w:space="0" w:color="auto"/>
        <w:right w:val="none" w:sz="0" w:space="0" w:color="auto"/>
      </w:divBdr>
    </w:div>
    <w:div w:id="916327730">
      <w:bodyDiv w:val="1"/>
      <w:marLeft w:val="0"/>
      <w:marRight w:val="0"/>
      <w:marTop w:val="0"/>
      <w:marBottom w:val="0"/>
      <w:divBdr>
        <w:top w:val="none" w:sz="0" w:space="0" w:color="auto"/>
        <w:left w:val="none" w:sz="0" w:space="0" w:color="auto"/>
        <w:bottom w:val="none" w:sz="0" w:space="0" w:color="auto"/>
        <w:right w:val="none" w:sz="0" w:space="0" w:color="auto"/>
      </w:divBdr>
    </w:div>
    <w:div w:id="917249054">
      <w:bodyDiv w:val="1"/>
      <w:marLeft w:val="0"/>
      <w:marRight w:val="0"/>
      <w:marTop w:val="0"/>
      <w:marBottom w:val="0"/>
      <w:divBdr>
        <w:top w:val="none" w:sz="0" w:space="0" w:color="auto"/>
        <w:left w:val="none" w:sz="0" w:space="0" w:color="auto"/>
        <w:bottom w:val="none" w:sz="0" w:space="0" w:color="auto"/>
        <w:right w:val="none" w:sz="0" w:space="0" w:color="auto"/>
      </w:divBdr>
    </w:div>
    <w:div w:id="921258573">
      <w:bodyDiv w:val="1"/>
      <w:marLeft w:val="0"/>
      <w:marRight w:val="0"/>
      <w:marTop w:val="0"/>
      <w:marBottom w:val="0"/>
      <w:divBdr>
        <w:top w:val="none" w:sz="0" w:space="0" w:color="auto"/>
        <w:left w:val="none" w:sz="0" w:space="0" w:color="auto"/>
        <w:bottom w:val="none" w:sz="0" w:space="0" w:color="auto"/>
        <w:right w:val="none" w:sz="0" w:space="0" w:color="auto"/>
      </w:divBdr>
      <w:divsChild>
        <w:div w:id="212541104">
          <w:marLeft w:val="0"/>
          <w:marRight w:val="0"/>
          <w:marTop w:val="0"/>
          <w:marBottom w:val="0"/>
          <w:divBdr>
            <w:top w:val="single" w:sz="2" w:space="0" w:color="auto"/>
            <w:left w:val="single" w:sz="2" w:space="0" w:color="auto"/>
            <w:bottom w:val="single" w:sz="2" w:space="0" w:color="auto"/>
            <w:right w:val="single" w:sz="2" w:space="0" w:color="auto"/>
          </w:divBdr>
          <w:divsChild>
            <w:div w:id="1941912994">
              <w:marLeft w:val="0"/>
              <w:marRight w:val="0"/>
              <w:marTop w:val="0"/>
              <w:marBottom w:val="0"/>
              <w:divBdr>
                <w:top w:val="single" w:sz="2" w:space="0" w:color="auto"/>
                <w:left w:val="single" w:sz="2" w:space="0" w:color="auto"/>
                <w:bottom w:val="single" w:sz="2" w:space="0" w:color="auto"/>
                <w:right w:val="single" w:sz="2" w:space="0" w:color="auto"/>
              </w:divBdr>
            </w:div>
          </w:divsChild>
        </w:div>
        <w:div w:id="748036667">
          <w:marLeft w:val="0"/>
          <w:marRight w:val="0"/>
          <w:marTop w:val="0"/>
          <w:marBottom w:val="0"/>
          <w:divBdr>
            <w:top w:val="single" w:sz="2" w:space="0" w:color="auto"/>
            <w:left w:val="single" w:sz="2" w:space="0" w:color="auto"/>
            <w:bottom w:val="single" w:sz="2" w:space="0" w:color="auto"/>
            <w:right w:val="single" w:sz="2" w:space="0" w:color="auto"/>
          </w:divBdr>
          <w:divsChild>
            <w:div w:id="1188105748">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945309360">
      <w:bodyDiv w:val="1"/>
      <w:marLeft w:val="0"/>
      <w:marRight w:val="0"/>
      <w:marTop w:val="0"/>
      <w:marBottom w:val="0"/>
      <w:divBdr>
        <w:top w:val="none" w:sz="0" w:space="0" w:color="auto"/>
        <w:left w:val="none" w:sz="0" w:space="0" w:color="auto"/>
        <w:bottom w:val="none" w:sz="0" w:space="0" w:color="auto"/>
        <w:right w:val="none" w:sz="0" w:space="0" w:color="auto"/>
      </w:divBdr>
    </w:div>
    <w:div w:id="957222052">
      <w:bodyDiv w:val="1"/>
      <w:marLeft w:val="0"/>
      <w:marRight w:val="0"/>
      <w:marTop w:val="0"/>
      <w:marBottom w:val="0"/>
      <w:divBdr>
        <w:top w:val="none" w:sz="0" w:space="0" w:color="auto"/>
        <w:left w:val="none" w:sz="0" w:space="0" w:color="auto"/>
        <w:bottom w:val="none" w:sz="0" w:space="0" w:color="auto"/>
        <w:right w:val="none" w:sz="0" w:space="0" w:color="auto"/>
      </w:divBdr>
    </w:div>
    <w:div w:id="961695301">
      <w:bodyDiv w:val="1"/>
      <w:marLeft w:val="0"/>
      <w:marRight w:val="0"/>
      <w:marTop w:val="0"/>
      <w:marBottom w:val="0"/>
      <w:divBdr>
        <w:top w:val="none" w:sz="0" w:space="0" w:color="auto"/>
        <w:left w:val="none" w:sz="0" w:space="0" w:color="auto"/>
        <w:bottom w:val="none" w:sz="0" w:space="0" w:color="auto"/>
        <w:right w:val="none" w:sz="0" w:space="0" w:color="auto"/>
      </w:divBdr>
    </w:div>
    <w:div w:id="971907364">
      <w:bodyDiv w:val="1"/>
      <w:marLeft w:val="0"/>
      <w:marRight w:val="0"/>
      <w:marTop w:val="0"/>
      <w:marBottom w:val="0"/>
      <w:divBdr>
        <w:top w:val="none" w:sz="0" w:space="0" w:color="auto"/>
        <w:left w:val="none" w:sz="0" w:space="0" w:color="auto"/>
        <w:bottom w:val="none" w:sz="0" w:space="0" w:color="auto"/>
        <w:right w:val="none" w:sz="0" w:space="0" w:color="auto"/>
      </w:divBdr>
    </w:div>
    <w:div w:id="972491624">
      <w:bodyDiv w:val="1"/>
      <w:marLeft w:val="0"/>
      <w:marRight w:val="0"/>
      <w:marTop w:val="0"/>
      <w:marBottom w:val="0"/>
      <w:divBdr>
        <w:top w:val="none" w:sz="0" w:space="0" w:color="auto"/>
        <w:left w:val="none" w:sz="0" w:space="0" w:color="auto"/>
        <w:bottom w:val="none" w:sz="0" w:space="0" w:color="auto"/>
        <w:right w:val="none" w:sz="0" w:space="0" w:color="auto"/>
      </w:divBdr>
    </w:div>
    <w:div w:id="980188279">
      <w:bodyDiv w:val="1"/>
      <w:marLeft w:val="0"/>
      <w:marRight w:val="0"/>
      <w:marTop w:val="0"/>
      <w:marBottom w:val="0"/>
      <w:divBdr>
        <w:top w:val="none" w:sz="0" w:space="0" w:color="auto"/>
        <w:left w:val="none" w:sz="0" w:space="0" w:color="auto"/>
        <w:bottom w:val="none" w:sz="0" w:space="0" w:color="auto"/>
        <w:right w:val="none" w:sz="0" w:space="0" w:color="auto"/>
      </w:divBdr>
    </w:div>
    <w:div w:id="996693775">
      <w:bodyDiv w:val="1"/>
      <w:marLeft w:val="0"/>
      <w:marRight w:val="0"/>
      <w:marTop w:val="0"/>
      <w:marBottom w:val="0"/>
      <w:divBdr>
        <w:top w:val="none" w:sz="0" w:space="0" w:color="auto"/>
        <w:left w:val="none" w:sz="0" w:space="0" w:color="auto"/>
        <w:bottom w:val="none" w:sz="0" w:space="0" w:color="auto"/>
        <w:right w:val="none" w:sz="0" w:space="0" w:color="auto"/>
      </w:divBdr>
    </w:div>
    <w:div w:id="1000350285">
      <w:bodyDiv w:val="1"/>
      <w:marLeft w:val="0"/>
      <w:marRight w:val="0"/>
      <w:marTop w:val="0"/>
      <w:marBottom w:val="0"/>
      <w:divBdr>
        <w:top w:val="none" w:sz="0" w:space="0" w:color="auto"/>
        <w:left w:val="none" w:sz="0" w:space="0" w:color="auto"/>
        <w:bottom w:val="none" w:sz="0" w:space="0" w:color="auto"/>
        <w:right w:val="none" w:sz="0" w:space="0" w:color="auto"/>
      </w:divBdr>
    </w:div>
    <w:div w:id="1003243332">
      <w:bodyDiv w:val="1"/>
      <w:marLeft w:val="0"/>
      <w:marRight w:val="0"/>
      <w:marTop w:val="0"/>
      <w:marBottom w:val="0"/>
      <w:divBdr>
        <w:top w:val="none" w:sz="0" w:space="0" w:color="auto"/>
        <w:left w:val="none" w:sz="0" w:space="0" w:color="auto"/>
        <w:bottom w:val="none" w:sz="0" w:space="0" w:color="auto"/>
        <w:right w:val="none" w:sz="0" w:space="0" w:color="auto"/>
      </w:divBdr>
    </w:div>
    <w:div w:id="1008021951">
      <w:bodyDiv w:val="1"/>
      <w:marLeft w:val="0"/>
      <w:marRight w:val="0"/>
      <w:marTop w:val="0"/>
      <w:marBottom w:val="0"/>
      <w:divBdr>
        <w:top w:val="none" w:sz="0" w:space="0" w:color="auto"/>
        <w:left w:val="none" w:sz="0" w:space="0" w:color="auto"/>
        <w:bottom w:val="none" w:sz="0" w:space="0" w:color="auto"/>
        <w:right w:val="none" w:sz="0" w:space="0" w:color="auto"/>
      </w:divBdr>
    </w:div>
    <w:div w:id="1018853726">
      <w:bodyDiv w:val="1"/>
      <w:marLeft w:val="0"/>
      <w:marRight w:val="0"/>
      <w:marTop w:val="0"/>
      <w:marBottom w:val="0"/>
      <w:divBdr>
        <w:top w:val="none" w:sz="0" w:space="0" w:color="auto"/>
        <w:left w:val="none" w:sz="0" w:space="0" w:color="auto"/>
        <w:bottom w:val="none" w:sz="0" w:space="0" w:color="auto"/>
        <w:right w:val="none" w:sz="0" w:space="0" w:color="auto"/>
      </w:divBdr>
    </w:div>
    <w:div w:id="1025785077">
      <w:bodyDiv w:val="1"/>
      <w:marLeft w:val="0"/>
      <w:marRight w:val="0"/>
      <w:marTop w:val="0"/>
      <w:marBottom w:val="0"/>
      <w:divBdr>
        <w:top w:val="none" w:sz="0" w:space="0" w:color="auto"/>
        <w:left w:val="none" w:sz="0" w:space="0" w:color="auto"/>
        <w:bottom w:val="none" w:sz="0" w:space="0" w:color="auto"/>
        <w:right w:val="none" w:sz="0" w:space="0" w:color="auto"/>
      </w:divBdr>
      <w:divsChild>
        <w:div w:id="1578517834">
          <w:marLeft w:val="0"/>
          <w:marRight w:val="0"/>
          <w:marTop w:val="0"/>
          <w:marBottom w:val="0"/>
          <w:divBdr>
            <w:top w:val="single" w:sz="2" w:space="0" w:color="auto"/>
            <w:left w:val="single" w:sz="2" w:space="0" w:color="auto"/>
            <w:bottom w:val="single" w:sz="2" w:space="0" w:color="auto"/>
            <w:right w:val="single" w:sz="2" w:space="0" w:color="auto"/>
          </w:divBdr>
          <w:divsChild>
            <w:div w:id="145274174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025983973">
      <w:bodyDiv w:val="1"/>
      <w:marLeft w:val="0"/>
      <w:marRight w:val="0"/>
      <w:marTop w:val="0"/>
      <w:marBottom w:val="0"/>
      <w:divBdr>
        <w:top w:val="none" w:sz="0" w:space="0" w:color="auto"/>
        <w:left w:val="none" w:sz="0" w:space="0" w:color="auto"/>
        <w:bottom w:val="none" w:sz="0" w:space="0" w:color="auto"/>
        <w:right w:val="none" w:sz="0" w:space="0" w:color="auto"/>
      </w:divBdr>
    </w:div>
    <w:div w:id="1033188394">
      <w:bodyDiv w:val="1"/>
      <w:marLeft w:val="0"/>
      <w:marRight w:val="0"/>
      <w:marTop w:val="0"/>
      <w:marBottom w:val="0"/>
      <w:divBdr>
        <w:top w:val="none" w:sz="0" w:space="0" w:color="auto"/>
        <w:left w:val="none" w:sz="0" w:space="0" w:color="auto"/>
        <w:bottom w:val="none" w:sz="0" w:space="0" w:color="auto"/>
        <w:right w:val="none" w:sz="0" w:space="0" w:color="auto"/>
      </w:divBdr>
    </w:div>
    <w:div w:id="1041711867">
      <w:bodyDiv w:val="1"/>
      <w:marLeft w:val="0"/>
      <w:marRight w:val="0"/>
      <w:marTop w:val="0"/>
      <w:marBottom w:val="0"/>
      <w:divBdr>
        <w:top w:val="none" w:sz="0" w:space="0" w:color="auto"/>
        <w:left w:val="none" w:sz="0" w:space="0" w:color="auto"/>
        <w:bottom w:val="none" w:sz="0" w:space="0" w:color="auto"/>
        <w:right w:val="none" w:sz="0" w:space="0" w:color="auto"/>
      </w:divBdr>
    </w:div>
    <w:div w:id="1044209819">
      <w:bodyDiv w:val="1"/>
      <w:marLeft w:val="0"/>
      <w:marRight w:val="0"/>
      <w:marTop w:val="0"/>
      <w:marBottom w:val="0"/>
      <w:divBdr>
        <w:top w:val="none" w:sz="0" w:space="0" w:color="auto"/>
        <w:left w:val="none" w:sz="0" w:space="0" w:color="auto"/>
        <w:bottom w:val="none" w:sz="0" w:space="0" w:color="auto"/>
        <w:right w:val="none" w:sz="0" w:space="0" w:color="auto"/>
      </w:divBdr>
    </w:div>
    <w:div w:id="1051270862">
      <w:bodyDiv w:val="1"/>
      <w:marLeft w:val="0"/>
      <w:marRight w:val="0"/>
      <w:marTop w:val="0"/>
      <w:marBottom w:val="0"/>
      <w:divBdr>
        <w:top w:val="none" w:sz="0" w:space="0" w:color="auto"/>
        <w:left w:val="none" w:sz="0" w:space="0" w:color="auto"/>
        <w:bottom w:val="none" w:sz="0" w:space="0" w:color="auto"/>
        <w:right w:val="none" w:sz="0" w:space="0" w:color="auto"/>
      </w:divBdr>
    </w:div>
    <w:div w:id="1055130588">
      <w:bodyDiv w:val="1"/>
      <w:marLeft w:val="0"/>
      <w:marRight w:val="0"/>
      <w:marTop w:val="0"/>
      <w:marBottom w:val="0"/>
      <w:divBdr>
        <w:top w:val="none" w:sz="0" w:space="0" w:color="auto"/>
        <w:left w:val="none" w:sz="0" w:space="0" w:color="auto"/>
        <w:bottom w:val="none" w:sz="0" w:space="0" w:color="auto"/>
        <w:right w:val="none" w:sz="0" w:space="0" w:color="auto"/>
      </w:divBdr>
    </w:div>
    <w:div w:id="1058630477">
      <w:bodyDiv w:val="1"/>
      <w:marLeft w:val="0"/>
      <w:marRight w:val="0"/>
      <w:marTop w:val="0"/>
      <w:marBottom w:val="0"/>
      <w:divBdr>
        <w:top w:val="none" w:sz="0" w:space="0" w:color="auto"/>
        <w:left w:val="none" w:sz="0" w:space="0" w:color="auto"/>
        <w:bottom w:val="none" w:sz="0" w:space="0" w:color="auto"/>
        <w:right w:val="none" w:sz="0" w:space="0" w:color="auto"/>
      </w:divBdr>
    </w:div>
    <w:div w:id="1062753316">
      <w:bodyDiv w:val="1"/>
      <w:marLeft w:val="0"/>
      <w:marRight w:val="0"/>
      <w:marTop w:val="0"/>
      <w:marBottom w:val="0"/>
      <w:divBdr>
        <w:top w:val="none" w:sz="0" w:space="0" w:color="auto"/>
        <w:left w:val="none" w:sz="0" w:space="0" w:color="auto"/>
        <w:bottom w:val="none" w:sz="0" w:space="0" w:color="auto"/>
        <w:right w:val="none" w:sz="0" w:space="0" w:color="auto"/>
      </w:divBdr>
    </w:div>
    <w:div w:id="1090590371">
      <w:bodyDiv w:val="1"/>
      <w:marLeft w:val="0"/>
      <w:marRight w:val="0"/>
      <w:marTop w:val="0"/>
      <w:marBottom w:val="0"/>
      <w:divBdr>
        <w:top w:val="none" w:sz="0" w:space="0" w:color="auto"/>
        <w:left w:val="none" w:sz="0" w:space="0" w:color="auto"/>
        <w:bottom w:val="none" w:sz="0" w:space="0" w:color="auto"/>
        <w:right w:val="none" w:sz="0" w:space="0" w:color="auto"/>
      </w:divBdr>
    </w:div>
    <w:div w:id="1098990195">
      <w:bodyDiv w:val="1"/>
      <w:marLeft w:val="0"/>
      <w:marRight w:val="0"/>
      <w:marTop w:val="0"/>
      <w:marBottom w:val="0"/>
      <w:divBdr>
        <w:top w:val="none" w:sz="0" w:space="0" w:color="auto"/>
        <w:left w:val="none" w:sz="0" w:space="0" w:color="auto"/>
        <w:bottom w:val="none" w:sz="0" w:space="0" w:color="auto"/>
        <w:right w:val="none" w:sz="0" w:space="0" w:color="auto"/>
      </w:divBdr>
    </w:div>
    <w:div w:id="1112627781">
      <w:bodyDiv w:val="1"/>
      <w:marLeft w:val="0"/>
      <w:marRight w:val="0"/>
      <w:marTop w:val="0"/>
      <w:marBottom w:val="0"/>
      <w:divBdr>
        <w:top w:val="none" w:sz="0" w:space="0" w:color="auto"/>
        <w:left w:val="none" w:sz="0" w:space="0" w:color="auto"/>
        <w:bottom w:val="none" w:sz="0" w:space="0" w:color="auto"/>
        <w:right w:val="none" w:sz="0" w:space="0" w:color="auto"/>
      </w:divBdr>
    </w:div>
    <w:div w:id="1124495201">
      <w:bodyDiv w:val="1"/>
      <w:marLeft w:val="0"/>
      <w:marRight w:val="0"/>
      <w:marTop w:val="0"/>
      <w:marBottom w:val="0"/>
      <w:divBdr>
        <w:top w:val="none" w:sz="0" w:space="0" w:color="auto"/>
        <w:left w:val="none" w:sz="0" w:space="0" w:color="auto"/>
        <w:bottom w:val="none" w:sz="0" w:space="0" w:color="auto"/>
        <w:right w:val="none" w:sz="0" w:space="0" w:color="auto"/>
      </w:divBdr>
    </w:div>
    <w:div w:id="1147015596">
      <w:bodyDiv w:val="1"/>
      <w:marLeft w:val="0"/>
      <w:marRight w:val="0"/>
      <w:marTop w:val="0"/>
      <w:marBottom w:val="0"/>
      <w:divBdr>
        <w:top w:val="none" w:sz="0" w:space="0" w:color="auto"/>
        <w:left w:val="none" w:sz="0" w:space="0" w:color="auto"/>
        <w:bottom w:val="none" w:sz="0" w:space="0" w:color="auto"/>
        <w:right w:val="none" w:sz="0" w:space="0" w:color="auto"/>
      </w:divBdr>
    </w:div>
    <w:div w:id="1149637937">
      <w:bodyDiv w:val="1"/>
      <w:marLeft w:val="0"/>
      <w:marRight w:val="0"/>
      <w:marTop w:val="0"/>
      <w:marBottom w:val="0"/>
      <w:divBdr>
        <w:top w:val="none" w:sz="0" w:space="0" w:color="auto"/>
        <w:left w:val="none" w:sz="0" w:space="0" w:color="auto"/>
        <w:bottom w:val="none" w:sz="0" w:space="0" w:color="auto"/>
        <w:right w:val="none" w:sz="0" w:space="0" w:color="auto"/>
      </w:divBdr>
      <w:divsChild>
        <w:div w:id="276497613">
          <w:marLeft w:val="0"/>
          <w:marRight w:val="0"/>
          <w:marTop w:val="0"/>
          <w:marBottom w:val="0"/>
          <w:divBdr>
            <w:top w:val="single" w:sz="2" w:space="0" w:color="auto"/>
            <w:left w:val="single" w:sz="2" w:space="0" w:color="auto"/>
            <w:bottom w:val="single" w:sz="2" w:space="0" w:color="auto"/>
            <w:right w:val="single" w:sz="2" w:space="0" w:color="auto"/>
          </w:divBdr>
          <w:divsChild>
            <w:div w:id="236593268">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151673600">
      <w:bodyDiv w:val="1"/>
      <w:marLeft w:val="0"/>
      <w:marRight w:val="0"/>
      <w:marTop w:val="0"/>
      <w:marBottom w:val="0"/>
      <w:divBdr>
        <w:top w:val="none" w:sz="0" w:space="0" w:color="auto"/>
        <w:left w:val="none" w:sz="0" w:space="0" w:color="auto"/>
        <w:bottom w:val="none" w:sz="0" w:space="0" w:color="auto"/>
        <w:right w:val="none" w:sz="0" w:space="0" w:color="auto"/>
      </w:divBdr>
    </w:div>
    <w:div w:id="1154758321">
      <w:bodyDiv w:val="1"/>
      <w:marLeft w:val="0"/>
      <w:marRight w:val="0"/>
      <w:marTop w:val="0"/>
      <w:marBottom w:val="0"/>
      <w:divBdr>
        <w:top w:val="none" w:sz="0" w:space="0" w:color="auto"/>
        <w:left w:val="none" w:sz="0" w:space="0" w:color="auto"/>
        <w:bottom w:val="none" w:sz="0" w:space="0" w:color="auto"/>
        <w:right w:val="none" w:sz="0" w:space="0" w:color="auto"/>
      </w:divBdr>
    </w:div>
    <w:div w:id="1171487813">
      <w:bodyDiv w:val="1"/>
      <w:marLeft w:val="0"/>
      <w:marRight w:val="0"/>
      <w:marTop w:val="0"/>
      <w:marBottom w:val="0"/>
      <w:divBdr>
        <w:top w:val="none" w:sz="0" w:space="0" w:color="auto"/>
        <w:left w:val="none" w:sz="0" w:space="0" w:color="auto"/>
        <w:bottom w:val="none" w:sz="0" w:space="0" w:color="auto"/>
        <w:right w:val="none" w:sz="0" w:space="0" w:color="auto"/>
      </w:divBdr>
    </w:div>
    <w:div w:id="1171872436">
      <w:bodyDiv w:val="1"/>
      <w:marLeft w:val="0"/>
      <w:marRight w:val="0"/>
      <w:marTop w:val="0"/>
      <w:marBottom w:val="0"/>
      <w:divBdr>
        <w:top w:val="none" w:sz="0" w:space="0" w:color="auto"/>
        <w:left w:val="none" w:sz="0" w:space="0" w:color="auto"/>
        <w:bottom w:val="none" w:sz="0" w:space="0" w:color="auto"/>
        <w:right w:val="none" w:sz="0" w:space="0" w:color="auto"/>
      </w:divBdr>
    </w:div>
    <w:div w:id="1178882969">
      <w:bodyDiv w:val="1"/>
      <w:marLeft w:val="0"/>
      <w:marRight w:val="0"/>
      <w:marTop w:val="0"/>
      <w:marBottom w:val="0"/>
      <w:divBdr>
        <w:top w:val="none" w:sz="0" w:space="0" w:color="auto"/>
        <w:left w:val="none" w:sz="0" w:space="0" w:color="auto"/>
        <w:bottom w:val="none" w:sz="0" w:space="0" w:color="auto"/>
        <w:right w:val="none" w:sz="0" w:space="0" w:color="auto"/>
      </w:divBdr>
    </w:div>
    <w:div w:id="1179346192">
      <w:bodyDiv w:val="1"/>
      <w:marLeft w:val="0"/>
      <w:marRight w:val="0"/>
      <w:marTop w:val="0"/>
      <w:marBottom w:val="0"/>
      <w:divBdr>
        <w:top w:val="none" w:sz="0" w:space="0" w:color="auto"/>
        <w:left w:val="none" w:sz="0" w:space="0" w:color="auto"/>
        <w:bottom w:val="none" w:sz="0" w:space="0" w:color="auto"/>
        <w:right w:val="none" w:sz="0" w:space="0" w:color="auto"/>
      </w:divBdr>
    </w:div>
    <w:div w:id="1181892189">
      <w:bodyDiv w:val="1"/>
      <w:marLeft w:val="0"/>
      <w:marRight w:val="0"/>
      <w:marTop w:val="0"/>
      <w:marBottom w:val="0"/>
      <w:divBdr>
        <w:top w:val="none" w:sz="0" w:space="0" w:color="auto"/>
        <w:left w:val="none" w:sz="0" w:space="0" w:color="auto"/>
        <w:bottom w:val="none" w:sz="0" w:space="0" w:color="auto"/>
        <w:right w:val="none" w:sz="0" w:space="0" w:color="auto"/>
      </w:divBdr>
    </w:div>
    <w:div w:id="1208180720">
      <w:bodyDiv w:val="1"/>
      <w:marLeft w:val="0"/>
      <w:marRight w:val="0"/>
      <w:marTop w:val="0"/>
      <w:marBottom w:val="0"/>
      <w:divBdr>
        <w:top w:val="none" w:sz="0" w:space="0" w:color="auto"/>
        <w:left w:val="none" w:sz="0" w:space="0" w:color="auto"/>
        <w:bottom w:val="none" w:sz="0" w:space="0" w:color="auto"/>
        <w:right w:val="none" w:sz="0" w:space="0" w:color="auto"/>
      </w:divBdr>
    </w:div>
    <w:div w:id="1211461149">
      <w:bodyDiv w:val="1"/>
      <w:marLeft w:val="0"/>
      <w:marRight w:val="0"/>
      <w:marTop w:val="0"/>
      <w:marBottom w:val="0"/>
      <w:divBdr>
        <w:top w:val="none" w:sz="0" w:space="0" w:color="auto"/>
        <w:left w:val="none" w:sz="0" w:space="0" w:color="auto"/>
        <w:bottom w:val="none" w:sz="0" w:space="0" w:color="auto"/>
        <w:right w:val="none" w:sz="0" w:space="0" w:color="auto"/>
      </w:divBdr>
    </w:div>
    <w:div w:id="1213345623">
      <w:bodyDiv w:val="1"/>
      <w:marLeft w:val="0"/>
      <w:marRight w:val="0"/>
      <w:marTop w:val="0"/>
      <w:marBottom w:val="0"/>
      <w:divBdr>
        <w:top w:val="none" w:sz="0" w:space="0" w:color="auto"/>
        <w:left w:val="none" w:sz="0" w:space="0" w:color="auto"/>
        <w:bottom w:val="none" w:sz="0" w:space="0" w:color="auto"/>
        <w:right w:val="none" w:sz="0" w:space="0" w:color="auto"/>
      </w:divBdr>
    </w:div>
    <w:div w:id="1216969548">
      <w:bodyDiv w:val="1"/>
      <w:marLeft w:val="0"/>
      <w:marRight w:val="0"/>
      <w:marTop w:val="0"/>
      <w:marBottom w:val="0"/>
      <w:divBdr>
        <w:top w:val="none" w:sz="0" w:space="0" w:color="auto"/>
        <w:left w:val="none" w:sz="0" w:space="0" w:color="auto"/>
        <w:bottom w:val="none" w:sz="0" w:space="0" w:color="auto"/>
        <w:right w:val="none" w:sz="0" w:space="0" w:color="auto"/>
      </w:divBdr>
    </w:div>
    <w:div w:id="1221480950">
      <w:bodyDiv w:val="1"/>
      <w:marLeft w:val="0"/>
      <w:marRight w:val="0"/>
      <w:marTop w:val="0"/>
      <w:marBottom w:val="0"/>
      <w:divBdr>
        <w:top w:val="none" w:sz="0" w:space="0" w:color="auto"/>
        <w:left w:val="none" w:sz="0" w:space="0" w:color="auto"/>
        <w:bottom w:val="none" w:sz="0" w:space="0" w:color="auto"/>
        <w:right w:val="none" w:sz="0" w:space="0" w:color="auto"/>
      </w:divBdr>
    </w:div>
    <w:div w:id="1228226598">
      <w:bodyDiv w:val="1"/>
      <w:marLeft w:val="0"/>
      <w:marRight w:val="0"/>
      <w:marTop w:val="0"/>
      <w:marBottom w:val="0"/>
      <w:divBdr>
        <w:top w:val="none" w:sz="0" w:space="0" w:color="auto"/>
        <w:left w:val="none" w:sz="0" w:space="0" w:color="auto"/>
        <w:bottom w:val="none" w:sz="0" w:space="0" w:color="auto"/>
        <w:right w:val="none" w:sz="0" w:space="0" w:color="auto"/>
      </w:divBdr>
    </w:div>
    <w:div w:id="1230845090">
      <w:bodyDiv w:val="1"/>
      <w:marLeft w:val="0"/>
      <w:marRight w:val="0"/>
      <w:marTop w:val="0"/>
      <w:marBottom w:val="0"/>
      <w:divBdr>
        <w:top w:val="none" w:sz="0" w:space="0" w:color="auto"/>
        <w:left w:val="none" w:sz="0" w:space="0" w:color="auto"/>
        <w:bottom w:val="none" w:sz="0" w:space="0" w:color="auto"/>
        <w:right w:val="none" w:sz="0" w:space="0" w:color="auto"/>
      </w:divBdr>
    </w:div>
    <w:div w:id="1241986541">
      <w:bodyDiv w:val="1"/>
      <w:marLeft w:val="0"/>
      <w:marRight w:val="0"/>
      <w:marTop w:val="0"/>
      <w:marBottom w:val="0"/>
      <w:divBdr>
        <w:top w:val="none" w:sz="0" w:space="0" w:color="auto"/>
        <w:left w:val="none" w:sz="0" w:space="0" w:color="auto"/>
        <w:bottom w:val="none" w:sz="0" w:space="0" w:color="auto"/>
        <w:right w:val="none" w:sz="0" w:space="0" w:color="auto"/>
      </w:divBdr>
    </w:div>
    <w:div w:id="1243099321">
      <w:bodyDiv w:val="1"/>
      <w:marLeft w:val="0"/>
      <w:marRight w:val="0"/>
      <w:marTop w:val="0"/>
      <w:marBottom w:val="0"/>
      <w:divBdr>
        <w:top w:val="none" w:sz="0" w:space="0" w:color="auto"/>
        <w:left w:val="none" w:sz="0" w:space="0" w:color="auto"/>
        <w:bottom w:val="none" w:sz="0" w:space="0" w:color="auto"/>
        <w:right w:val="none" w:sz="0" w:space="0" w:color="auto"/>
      </w:divBdr>
    </w:div>
    <w:div w:id="1243564079">
      <w:bodyDiv w:val="1"/>
      <w:marLeft w:val="0"/>
      <w:marRight w:val="0"/>
      <w:marTop w:val="0"/>
      <w:marBottom w:val="0"/>
      <w:divBdr>
        <w:top w:val="none" w:sz="0" w:space="0" w:color="auto"/>
        <w:left w:val="none" w:sz="0" w:space="0" w:color="auto"/>
        <w:bottom w:val="none" w:sz="0" w:space="0" w:color="auto"/>
        <w:right w:val="none" w:sz="0" w:space="0" w:color="auto"/>
      </w:divBdr>
    </w:div>
    <w:div w:id="1244297917">
      <w:bodyDiv w:val="1"/>
      <w:marLeft w:val="0"/>
      <w:marRight w:val="0"/>
      <w:marTop w:val="0"/>
      <w:marBottom w:val="0"/>
      <w:divBdr>
        <w:top w:val="none" w:sz="0" w:space="0" w:color="auto"/>
        <w:left w:val="none" w:sz="0" w:space="0" w:color="auto"/>
        <w:bottom w:val="none" w:sz="0" w:space="0" w:color="auto"/>
        <w:right w:val="none" w:sz="0" w:space="0" w:color="auto"/>
      </w:divBdr>
    </w:div>
    <w:div w:id="1246495823">
      <w:bodyDiv w:val="1"/>
      <w:marLeft w:val="0"/>
      <w:marRight w:val="0"/>
      <w:marTop w:val="0"/>
      <w:marBottom w:val="0"/>
      <w:divBdr>
        <w:top w:val="none" w:sz="0" w:space="0" w:color="auto"/>
        <w:left w:val="none" w:sz="0" w:space="0" w:color="auto"/>
        <w:bottom w:val="none" w:sz="0" w:space="0" w:color="auto"/>
        <w:right w:val="none" w:sz="0" w:space="0" w:color="auto"/>
      </w:divBdr>
    </w:div>
    <w:div w:id="1255241956">
      <w:bodyDiv w:val="1"/>
      <w:marLeft w:val="0"/>
      <w:marRight w:val="0"/>
      <w:marTop w:val="0"/>
      <w:marBottom w:val="0"/>
      <w:divBdr>
        <w:top w:val="none" w:sz="0" w:space="0" w:color="auto"/>
        <w:left w:val="none" w:sz="0" w:space="0" w:color="auto"/>
        <w:bottom w:val="none" w:sz="0" w:space="0" w:color="auto"/>
        <w:right w:val="none" w:sz="0" w:space="0" w:color="auto"/>
      </w:divBdr>
    </w:div>
    <w:div w:id="1255630059">
      <w:bodyDiv w:val="1"/>
      <w:marLeft w:val="0"/>
      <w:marRight w:val="0"/>
      <w:marTop w:val="0"/>
      <w:marBottom w:val="0"/>
      <w:divBdr>
        <w:top w:val="none" w:sz="0" w:space="0" w:color="auto"/>
        <w:left w:val="none" w:sz="0" w:space="0" w:color="auto"/>
        <w:bottom w:val="none" w:sz="0" w:space="0" w:color="auto"/>
        <w:right w:val="none" w:sz="0" w:space="0" w:color="auto"/>
      </w:divBdr>
    </w:div>
    <w:div w:id="1263882240">
      <w:bodyDiv w:val="1"/>
      <w:marLeft w:val="0"/>
      <w:marRight w:val="0"/>
      <w:marTop w:val="0"/>
      <w:marBottom w:val="0"/>
      <w:divBdr>
        <w:top w:val="none" w:sz="0" w:space="0" w:color="auto"/>
        <w:left w:val="none" w:sz="0" w:space="0" w:color="auto"/>
        <w:bottom w:val="none" w:sz="0" w:space="0" w:color="auto"/>
        <w:right w:val="none" w:sz="0" w:space="0" w:color="auto"/>
      </w:divBdr>
    </w:div>
    <w:div w:id="1288514435">
      <w:bodyDiv w:val="1"/>
      <w:marLeft w:val="0"/>
      <w:marRight w:val="0"/>
      <w:marTop w:val="0"/>
      <w:marBottom w:val="0"/>
      <w:divBdr>
        <w:top w:val="none" w:sz="0" w:space="0" w:color="auto"/>
        <w:left w:val="none" w:sz="0" w:space="0" w:color="auto"/>
        <w:bottom w:val="none" w:sz="0" w:space="0" w:color="auto"/>
        <w:right w:val="none" w:sz="0" w:space="0" w:color="auto"/>
      </w:divBdr>
    </w:div>
    <w:div w:id="1290166284">
      <w:bodyDiv w:val="1"/>
      <w:marLeft w:val="0"/>
      <w:marRight w:val="0"/>
      <w:marTop w:val="0"/>
      <w:marBottom w:val="0"/>
      <w:divBdr>
        <w:top w:val="none" w:sz="0" w:space="0" w:color="auto"/>
        <w:left w:val="none" w:sz="0" w:space="0" w:color="auto"/>
        <w:bottom w:val="none" w:sz="0" w:space="0" w:color="auto"/>
        <w:right w:val="none" w:sz="0" w:space="0" w:color="auto"/>
      </w:divBdr>
    </w:div>
    <w:div w:id="1291715482">
      <w:bodyDiv w:val="1"/>
      <w:marLeft w:val="0"/>
      <w:marRight w:val="0"/>
      <w:marTop w:val="0"/>
      <w:marBottom w:val="0"/>
      <w:divBdr>
        <w:top w:val="none" w:sz="0" w:space="0" w:color="auto"/>
        <w:left w:val="none" w:sz="0" w:space="0" w:color="auto"/>
        <w:bottom w:val="none" w:sz="0" w:space="0" w:color="auto"/>
        <w:right w:val="none" w:sz="0" w:space="0" w:color="auto"/>
      </w:divBdr>
    </w:div>
    <w:div w:id="1302272919">
      <w:bodyDiv w:val="1"/>
      <w:marLeft w:val="0"/>
      <w:marRight w:val="0"/>
      <w:marTop w:val="0"/>
      <w:marBottom w:val="0"/>
      <w:divBdr>
        <w:top w:val="none" w:sz="0" w:space="0" w:color="auto"/>
        <w:left w:val="none" w:sz="0" w:space="0" w:color="auto"/>
        <w:bottom w:val="none" w:sz="0" w:space="0" w:color="auto"/>
        <w:right w:val="none" w:sz="0" w:space="0" w:color="auto"/>
      </w:divBdr>
    </w:div>
    <w:div w:id="1307509632">
      <w:bodyDiv w:val="1"/>
      <w:marLeft w:val="0"/>
      <w:marRight w:val="0"/>
      <w:marTop w:val="0"/>
      <w:marBottom w:val="0"/>
      <w:divBdr>
        <w:top w:val="none" w:sz="0" w:space="0" w:color="auto"/>
        <w:left w:val="none" w:sz="0" w:space="0" w:color="auto"/>
        <w:bottom w:val="none" w:sz="0" w:space="0" w:color="auto"/>
        <w:right w:val="none" w:sz="0" w:space="0" w:color="auto"/>
      </w:divBdr>
      <w:divsChild>
        <w:div w:id="1492135317">
          <w:marLeft w:val="0"/>
          <w:marRight w:val="0"/>
          <w:marTop w:val="0"/>
          <w:marBottom w:val="0"/>
          <w:divBdr>
            <w:top w:val="single" w:sz="2" w:space="0" w:color="auto"/>
            <w:left w:val="single" w:sz="2" w:space="0" w:color="auto"/>
            <w:bottom w:val="single" w:sz="2" w:space="0" w:color="auto"/>
            <w:right w:val="single" w:sz="2" w:space="0" w:color="auto"/>
          </w:divBdr>
          <w:divsChild>
            <w:div w:id="121091493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313565562">
      <w:bodyDiv w:val="1"/>
      <w:marLeft w:val="0"/>
      <w:marRight w:val="0"/>
      <w:marTop w:val="0"/>
      <w:marBottom w:val="0"/>
      <w:divBdr>
        <w:top w:val="none" w:sz="0" w:space="0" w:color="auto"/>
        <w:left w:val="none" w:sz="0" w:space="0" w:color="auto"/>
        <w:bottom w:val="none" w:sz="0" w:space="0" w:color="auto"/>
        <w:right w:val="none" w:sz="0" w:space="0" w:color="auto"/>
      </w:divBdr>
    </w:div>
    <w:div w:id="1313874617">
      <w:bodyDiv w:val="1"/>
      <w:marLeft w:val="0"/>
      <w:marRight w:val="0"/>
      <w:marTop w:val="0"/>
      <w:marBottom w:val="0"/>
      <w:divBdr>
        <w:top w:val="none" w:sz="0" w:space="0" w:color="auto"/>
        <w:left w:val="none" w:sz="0" w:space="0" w:color="auto"/>
        <w:bottom w:val="none" w:sz="0" w:space="0" w:color="auto"/>
        <w:right w:val="none" w:sz="0" w:space="0" w:color="auto"/>
      </w:divBdr>
    </w:div>
    <w:div w:id="1320184572">
      <w:bodyDiv w:val="1"/>
      <w:marLeft w:val="0"/>
      <w:marRight w:val="0"/>
      <w:marTop w:val="0"/>
      <w:marBottom w:val="0"/>
      <w:divBdr>
        <w:top w:val="none" w:sz="0" w:space="0" w:color="auto"/>
        <w:left w:val="none" w:sz="0" w:space="0" w:color="auto"/>
        <w:bottom w:val="none" w:sz="0" w:space="0" w:color="auto"/>
        <w:right w:val="none" w:sz="0" w:space="0" w:color="auto"/>
      </w:divBdr>
    </w:div>
    <w:div w:id="1332296055">
      <w:bodyDiv w:val="1"/>
      <w:marLeft w:val="0"/>
      <w:marRight w:val="0"/>
      <w:marTop w:val="0"/>
      <w:marBottom w:val="0"/>
      <w:divBdr>
        <w:top w:val="none" w:sz="0" w:space="0" w:color="auto"/>
        <w:left w:val="none" w:sz="0" w:space="0" w:color="auto"/>
        <w:bottom w:val="none" w:sz="0" w:space="0" w:color="auto"/>
        <w:right w:val="none" w:sz="0" w:space="0" w:color="auto"/>
      </w:divBdr>
    </w:div>
    <w:div w:id="1332415540">
      <w:bodyDiv w:val="1"/>
      <w:marLeft w:val="0"/>
      <w:marRight w:val="0"/>
      <w:marTop w:val="0"/>
      <w:marBottom w:val="0"/>
      <w:divBdr>
        <w:top w:val="none" w:sz="0" w:space="0" w:color="auto"/>
        <w:left w:val="none" w:sz="0" w:space="0" w:color="auto"/>
        <w:bottom w:val="none" w:sz="0" w:space="0" w:color="auto"/>
        <w:right w:val="none" w:sz="0" w:space="0" w:color="auto"/>
      </w:divBdr>
    </w:div>
    <w:div w:id="1347097454">
      <w:bodyDiv w:val="1"/>
      <w:marLeft w:val="0"/>
      <w:marRight w:val="0"/>
      <w:marTop w:val="0"/>
      <w:marBottom w:val="0"/>
      <w:divBdr>
        <w:top w:val="none" w:sz="0" w:space="0" w:color="auto"/>
        <w:left w:val="none" w:sz="0" w:space="0" w:color="auto"/>
        <w:bottom w:val="none" w:sz="0" w:space="0" w:color="auto"/>
        <w:right w:val="none" w:sz="0" w:space="0" w:color="auto"/>
      </w:divBdr>
    </w:div>
    <w:div w:id="1348797460">
      <w:bodyDiv w:val="1"/>
      <w:marLeft w:val="0"/>
      <w:marRight w:val="0"/>
      <w:marTop w:val="0"/>
      <w:marBottom w:val="0"/>
      <w:divBdr>
        <w:top w:val="none" w:sz="0" w:space="0" w:color="auto"/>
        <w:left w:val="none" w:sz="0" w:space="0" w:color="auto"/>
        <w:bottom w:val="none" w:sz="0" w:space="0" w:color="auto"/>
        <w:right w:val="none" w:sz="0" w:space="0" w:color="auto"/>
      </w:divBdr>
    </w:div>
    <w:div w:id="1355692429">
      <w:bodyDiv w:val="1"/>
      <w:marLeft w:val="0"/>
      <w:marRight w:val="0"/>
      <w:marTop w:val="0"/>
      <w:marBottom w:val="0"/>
      <w:divBdr>
        <w:top w:val="none" w:sz="0" w:space="0" w:color="auto"/>
        <w:left w:val="none" w:sz="0" w:space="0" w:color="auto"/>
        <w:bottom w:val="none" w:sz="0" w:space="0" w:color="auto"/>
        <w:right w:val="none" w:sz="0" w:space="0" w:color="auto"/>
      </w:divBdr>
    </w:div>
    <w:div w:id="1359500738">
      <w:bodyDiv w:val="1"/>
      <w:marLeft w:val="0"/>
      <w:marRight w:val="0"/>
      <w:marTop w:val="0"/>
      <w:marBottom w:val="0"/>
      <w:divBdr>
        <w:top w:val="none" w:sz="0" w:space="0" w:color="auto"/>
        <w:left w:val="none" w:sz="0" w:space="0" w:color="auto"/>
        <w:bottom w:val="none" w:sz="0" w:space="0" w:color="auto"/>
        <w:right w:val="none" w:sz="0" w:space="0" w:color="auto"/>
      </w:divBdr>
    </w:div>
    <w:div w:id="1368872393">
      <w:bodyDiv w:val="1"/>
      <w:marLeft w:val="0"/>
      <w:marRight w:val="0"/>
      <w:marTop w:val="0"/>
      <w:marBottom w:val="0"/>
      <w:divBdr>
        <w:top w:val="none" w:sz="0" w:space="0" w:color="auto"/>
        <w:left w:val="none" w:sz="0" w:space="0" w:color="auto"/>
        <w:bottom w:val="none" w:sz="0" w:space="0" w:color="auto"/>
        <w:right w:val="none" w:sz="0" w:space="0" w:color="auto"/>
      </w:divBdr>
    </w:div>
    <w:div w:id="1381517818">
      <w:bodyDiv w:val="1"/>
      <w:marLeft w:val="0"/>
      <w:marRight w:val="0"/>
      <w:marTop w:val="0"/>
      <w:marBottom w:val="0"/>
      <w:divBdr>
        <w:top w:val="none" w:sz="0" w:space="0" w:color="auto"/>
        <w:left w:val="none" w:sz="0" w:space="0" w:color="auto"/>
        <w:bottom w:val="none" w:sz="0" w:space="0" w:color="auto"/>
        <w:right w:val="none" w:sz="0" w:space="0" w:color="auto"/>
      </w:divBdr>
    </w:div>
    <w:div w:id="1386489644">
      <w:bodyDiv w:val="1"/>
      <w:marLeft w:val="0"/>
      <w:marRight w:val="0"/>
      <w:marTop w:val="0"/>
      <w:marBottom w:val="0"/>
      <w:divBdr>
        <w:top w:val="none" w:sz="0" w:space="0" w:color="auto"/>
        <w:left w:val="none" w:sz="0" w:space="0" w:color="auto"/>
        <w:bottom w:val="none" w:sz="0" w:space="0" w:color="auto"/>
        <w:right w:val="none" w:sz="0" w:space="0" w:color="auto"/>
      </w:divBdr>
      <w:divsChild>
        <w:div w:id="422189885">
          <w:marLeft w:val="0"/>
          <w:marRight w:val="0"/>
          <w:marTop w:val="0"/>
          <w:marBottom w:val="0"/>
          <w:divBdr>
            <w:top w:val="single" w:sz="2" w:space="0" w:color="auto"/>
            <w:left w:val="single" w:sz="2" w:space="0" w:color="auto"/>
            <w:bottom w:val="single" w:sz="2" w:space="0" w:color="auto"/>
            <w:right w:val="single" w:sz="2" w:space="0" w:color="auto"/>
          </w:divBdr>
          <w:divsChild>
            <w:div w:id="865408065">
              <w:marLeft w:val="0"/>
              <w:marRight w:val="0"/>
              <w:marTop w:val="0"/>
              <w:marBottom w:val="0"/>
              <w:divBdr>
                <w:top w:val="single" w:sz="2" w:space="0" w:color="auto"/>
                <w:left w:val="single" w:sz="2" w:space="0" w:color="auto"/>
                <w:bottom w:val="single" w:sz="2" w:space="0" w:color="auto"/>
                <w:right w:val="single" w:sz="2" w:space="0" w:color="auto"/>
              </w:divBdr>
            </w:div>
          </w:divsChild>
        </w:div>
        <w:div w:id="1158693354">
          <w:marLeft w:val="0"/>
          <w:marRight w:val="0"/>
          <w:marTop w:val="0"/>
          <w:marBottom w:val="0"/>
          <w:divBdr>
            <w:top w:val="single" w:sz="2" w:space="0" w:color="auto"/>
            <w:left w:val="single" w:sz="2" w:space="0" w:color="auto"/>
            <w:bottom w:val="single" w:sz="2" w:space="0" w:color="auto"/>
            <w:right w:val="single" w:sz="2" w:space="0" w:color="auto"/>
          </w:divBdr>
          <w:divsChild>
            <w:div w:id="1144813938">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386678100">
      <w:bodyDiv w:val="1"/>
      <w:marLeft w:val="0"/>
      <w:marRight w:val="0"/>
      <w:marTop w:val="0"/>
      <w:marBottom w:val="0"/>
      <w:divBdr>
        <w:top w:val="none" w:sz="0" w:space="0" w:color="auto"/>
        <w:left w:val="none" w:sz="0" w:space="0" w:color="auto"/>
        <w:bottom w:val="none" w:sz="0" w:space="0" w:color="auto"/>
        <w:right w:val="none" w:sz="0" w:space="0" w:color="auto"/>
      </w:divBdr>
    </w:div>
    <w:div w:id="1408960444">
      <w:bodyDiv w:val="1"/>
      <w:marLeft w:val="0"/>
      <w:marRight w:val="0"/>
      <w:marTop w:val="0"/>
      <w:marBottom w:val="0"/>
      <w:divBdr>
        <w:top w:val="none" w:sz="0" w:space="0" w:color="auto"/>
        <w:left w:val="none" w:sz="0" w:space="0" w:color="auto"/>
        <w:bottom w:val="none" w:sz="0" w:space="0" w:color="auto"/>
        <w:right w:val="none" w:sz="0" w:space="0" w:color="auto"/>
      </w:divBdr>
      <w:divsChild>
        <w:div w:id="367803598">
          <w:marLeft w:val="0"/>
          <w:marRight w:val="0"/>
          <w:marTop w:val="0"/>
          <w:marBottom w:val="0"/>
          <w:divBdr>
            <w:top w:val="single" w:sz="2" w:space="0" w:color="auto"/>
            <w:left w:val="single" w:sz="2" w:space="0" w:color="auto"/>
            <w:bottom w:val="single" w:sz="2" w:space="0" w:color="auto"/>
            <w:right w:val="single" w:sz="2" w:space="0" w:color="auto"/>
          </w:divBdr>
          <w:divsChild>
            <w:div w:id="2133665548">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413619885">
      <w:bodyDiv w:val="1"/>
      <w:marLeft w:val="0"/>
      <w:marRight w:val="0"/>
      <w:marTop w:val="0"/>
      <w:marBottom w:val="0"/>
      <w:divBdr>
        <w:top w:val="none" w:sz="0" w:space="0" w:color="auto"/>
        <w:left w:val="none" w:sz="0" w:space="0" w:color="auto"/>
        <w:bottom w:val="none" w:sz="0" w:space="0" w:color="auto"/>
        <w:right w:val="none" w:sz="0" w:space="0" w:color="auto"/>
      </w:divBdr>
      <w:divsChild>
        <w:div w:id="600573684">
          <w:marLeft w:val="0"/>
          <w:marRight w:val="0"/>
          <w:marTop w:val="0"/>
          <w:marBottom w:val="0"/>
          <w:divBdr>
            <w:top w:val="single" w:sz="2" w:space="0" w:color="auto"/>
            <w:left w:val="single" w:sz="2" w:space="0" w:color="auto"/>
            <w:bottom w:val="single" w:sz="2" w:space="0" w:color="auto"/>
            <w:right w:val="single" w:sz="2" w:space="0" w:color="auto"/>
          </w:divBdr>
          <w:divsChild>
            <w:div w:id="402605305">
              <w:marLeft w:val="0"/>
              <w:marRight w:val="0"/>
              <w:marTop w:val="0"/>
              <w:marBottom w:val="0"/>
              <w:divBdr>
                <w:top w:val="single" w:sz="2" w:space="0" w:color="auto"/>
                <w:left w:val="single" w:sz="2" w:space="0" w:color="auto"/>
                <w:bottom w:val="single" w:sz="2" w:space="0" w:color="auto"/>
                <w:right w:val="single" w:sz="2" w:space="0" w:color="auto"/>
              </w:divBdr>
            </w:div>
          </w:divsChild>
        </w:div>
        <w:div w:id="1711570301">
          <w:marLeft w:val="0"/>
          <w:marRight w:val="0"/>
          <w:marTop w:val="0"/>
          <w:marBottom w:val="0"/>
          <w:divBdr>
            <w:top w:val="single" w:sz="2" w:space="0" w:color="auto"/>
            <w:left w:val="single" w:sz="2" w:space="0" w:color="auto"/>
            <w:bottom w:val="single" w:sz="2" w:space="0" w:color="auto"/>
            <w:right w:val="single" w:sz="2" w:space="0" w:color="auto"/>
          </w:divBdr>
          <w:divsChild>
            <w:div w:id="212114567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415516766">
      <w:bodyDiv w:val="1"/>
      <w:marLeft w:val="0"/>
      <w:marRight w:val="0"/>
      <w:marTop w:val="0"/>
      <w:marBottom w:val="0"/>
      <w:divBdr>
        <w:top w:val="none" w:sz="0" w:space="0" w:color="auto"/>
        <w:left w:val="none" w:sz="0" w:space="0" w:color="auto"/>
        <w:bottom w:val="none" w:sz="0" w:space="0" w:color="auto"/>
        <w:right w:val="none" w:sz="0" w:space="0" w:color="auto"/>
      </w:divBdr>
    </w:div>
    <w:div w:id="1417820736">
      <w:bodyDiv w:val="1"/>
      <w:marLeft w:val="0"/>
      <w:marRight w:val="0"/>
      <w:marTop w:val="0"/>
      <w:marBottom w:val="0"/>
      <w:divBdr>
        <w:top w:val="none" w:sz="0" w:space="0" w:color="auto"/>
        <w:left w:val="none" w:sz="0" w:space="0" w:color="auto"/>
        <w:bottom w:val="none" w:sz="0" w:space="0" w:color="auto"/>
        <w:right w:val="none" w:sz="0" w:space="0" w:color="auto"/>
      </w:divBdr>
    </w:div>
    <w:div w:id="1427774638">
      <w:bodyDiv w:val="1"/>
      <w:marLeft w:val="0"/>
      <w:marRight w:val="0"/>
      <w:marTop w:val="0"/>
      <w:marBottom w:val="0"/>
      <w:divBdr>
        <w:top w:val="none" w:sz="0" w:space="0" w:color="auto"/>
        <w:left w:val="none" w:sz="0" w:space="0" w:color="auto"/>
        <w:bottom w:val="none" w:sz="0" w:space="0" w:color="auto"/>
        <w:right w:val="none" w:sz="0" w:space="0" w:color="auto"/>
      </w:divBdr>
    </w:div>
    <w:div w:id="1430466696">
      <w:bodyDiv w:val="1"/>
      <w:marLeft w:val="0"/>
      <w:marRight w:val="0"/>
      <w:marTop w:val="0"/>
      <w:marBottom w:val="0"/>
      <w:divBdr>
        <w:top w:val="none" w:sz="0" w:space="0" w:color="auto"/>
        <w:left w:val="none" w:sz="0" w:space="0" w:color="auto"/>
        <w:bottom w:val="none" w:sz="0" w:space="0" w:color="auto"/>
        <w:right w:val="none" w:sz="0" w:space="0" w:color="auto"/>
      </w:divBdr>
    </w:div>
    <w:div w:id="1432165369">
      <w:bodyDiv w:val="1"/>
      <w:marLeft w:val="0"/>
      <w:marRight w:val="0"/>
      <w:marTop w:val="0"/>
      <w:marBottom w:val="0"/>
      <w:divBdr>
        <w:top w:val="none" w:sz="0" w:space="0" w:color="auto"/>
        <w:left w:val="none" w:sz="0" w:space="0" w:color="auto"/>
        <w:bottom w:val="none" w:sz="0" w:space="0" w:color="auto"/>
        <w:right w:val="none" w:sz="0" w:space="0" w:color="auto"/>
      </w:divBdr>
    </w:div>
    <w:div w:id="1439175227">
      <w:bodyDiv w:val="1"/>
      <w:marLeft w:val="0"/>
      <w:marRight w:val="0"/>
      <w:marTop w:val="0"/>
      <w:marBottom w:val="0"/>
      <w:divBdr>
        <w:top w:val="none" w:sz="0" w:space="0" w:color="auto"/>
        <w:left w:val="none" w:sz="0" w:space="0" w:color="auto"/>
        <w:bottom w:val="none" w:sz="0" w:space="0" w:color="auto"/>
        <w:right w:val="none" w:sz="0" w:space="0" w:color="auto"/>
      </w:divBdr>
    </w:div>
    <w:div w:id="1439372839">
      <w:bodyDiv w:val="1"/>
      <w:marLeft w:val="0"/>
      <w:marRight w:val="0"/>
      <w:marTop w:val="0"/>
      <w:marBottom w:val="0"/>
      <w:divBdr>
        <w:top w:val="none" w:sz="0" w:space="0" w:color="auto"/>
        <w:left w:val="none" w:sz="0" w:space="0" w:color="auto"/>
        <w:bottom w:val="none" w:sz="0" w:space="0" w:color="auto"/>
        <w:right w:val="none" w:sz="0" w:space="0" w:color="auto"/>
      </w:divBdr>
    </w:div>
    <w:div w:id="1441611589">
      <w:bodyDiv w:val="1"/>
      <w:marLeft w:val="0"/>
      <w:marRight w:val="0"/>
      <w:marTop w:val="0"/>
      <w:marBottom w:val="0"/>
      <w:divBdr>
        <w:top w:val="none" w:sz="0" w:space="0" w:color="auto"/>
        <w:left w:val="none" w:sz="0" w:space="0" w:color="auto"/>
        <w:bottom w:val="none" w:sz="0" w:space="0" w:color="auto"/>
        <w:right w:val="none" w:sz="0" w:space="0" w:color="auto"/>
      </w:divBdr>
    </w:div>
    <w:div w:id="1456289670">
      <w:bodyDiv w:val="1"/>
      <w:marLeft w:val="0"/>
      <w:marRight w:val="0"/>
      <w:marTop w:val="0"/>
      <w:marBottom w:val="0"/>
      <w:divBdr>
        <w:top w:val="none" w:sz="0" w:space="0" w:color="auto"/>
        <w:left w:val="none" w:sz="0" w:space="0" w:color="auto"/>
        <w:bottom w:val="none" w:sz="0" w:space="0" w:color="auto"/>
        <w:right w:val="none" w:sz="0" w:space="0" w:color="auto"/>
      </w:divBdr>
    </w:div>
    <w:div w:id="1458375414">
      <w:bodyDiv w:val="1"/>
      <w:marLeft w:val="0"/>
      <w:marRight w:val="0"/>
      <w:marTop w:val="0"/>
      <w:marBottom w:val="0"/>
      <w:divBdr>
        <w:top w:val="none" w:sz="0" w:space="0" w:color="auto"/>
        <w:left w:val="none" w:sz="0" w:space="0" w:color="auto"/>
        <w:bottom w:val="none" w:sz="0" w:space="0" w:color="auto"/>
        <w:right w:val="none" w:sz="0" w:space="0" w:color="auto"/>
      </w:divBdr>
    </w:div>
    <w:div w:id="1460152176">
      <w:bodyDiv w:val="1"/>
      <w:marLeft w:val="0"/>
      <w:marRight w:val="0"/>
      <w:marTop w:val="0"/>
      <w:marBottom w:val="0"/>
      <w:divBdr>
        <w:top w:val="none" w:sz="0" w:space="0" w:color="auto"/>
        <w:left w:val="none" w:sz="0" w:space="0" w:color="auto"/>
        <w:bottom w:val="none" w:sz="0" w:space="0" w:color="auto"/>
        <w:right w:val="none" w:sz="0" w:space="0" w:color="auto"/>
      </w:divBdr>
    </w:div>
    <w:div w:id="1472941535">
      <w:bodyDiv w:val="1"/>
      <w:marLeft w:val="0"/>
      <w:marRight w:val="0"/>
      <w:marTop w:val="0"/>
      <w:marBottom w:val="0"/>
      <w:divBdr>
        <w:top w:val="none" w:sz="0" w:space="0" w:color="auto"/>
        <w:left w:val="none" w:sz="0" w:space="0" w:color="auto"/>
        <w:bottom w:val="none" w:sz="0" w:space="0" w:color="auto"/>
        <w:right w:val="none" w:sz="0" w:space="0" w:color="auto"/>
      </w:divBdr>
    </w:div>
    <w:div w:id="1475679034">
      <w:bodyDiv w:val="1"/>
      <w:marLeft w:val="0"/>
      <w:marRight w:val="0"/>
      <w:marTop w:val="0"/>
      <w:marBottom w:val="0"/>
      <w:divBdr>
        <w:top w:val="none" w:sz="0" w:space="0" w:color="auto"/>
        <w:left w:val="none" w:sz="0" w:space="0" w:color="auto"/>
        <w:bottom w:val="none" w:sz="0" w:space="0" w:color="auto"/>
        <w:right w:val="none" w:sz="0" w:space="0" w:color="auto"/>
      </w:divBdr>
    </w:div>
    <w:div w:id="1478448576">
      <w:bodyDiv w:val="1"/>
      <w:marLeft w:val="0"/>
      <w:marRight w:val="0"/>
      <w:marTop w:val="0"/>
      <w:marBottom w:val="0"/>
      <w:divBdr>
        <w:top w:val="none" w:sz="0" w:space="0" w:color="auto"/>
        <w:left w:val="none" w:sz="0" w:space="0" w:color="auto"/>
        <w:bottom w:val="none" w:sz="0" w:space="0" w:color="auto"/>
        <w:right w:val="none" w:sz="0" w:space="0" w:color="auto"/>
      </w:divBdr>
    </w:div>
    <w:div w:id="1481731529">
      <w:bodyDiv w:val="1"/>
      <w:marLeft w:val="0"/>
      <w:marRight w:val="0"/>
      <w:marTop w:val="0"/>
      <w:marBottom w:val="0"/>
      <w:divBdr>
        <w:top w:val="none" w:sz="0" w:space="0" w:color="auto"/>
        <w:left w:val="none" w:sz="0" w:space="0" w:color="auto"/>
        <w:bottom w:val="none" w:sz="0" w:space="0" w:color="auto"/>
        <w:right w:val="none" w:sz="0" w:space="0" w:color="auto"/>
      </w:divBdr>
      <w:divsChild>
        <w:div w:id="1182546930">
          <w:marLeft w:val="547"/>
          <w:marRight w:val="0"/>
          <w:marTop w:val="0"/>
          <w:marBottom w:val="0"/>
          <w:divBdr>
            <w:top w:val="none" w:sz="0" w:space="0" w:color="auto"/>
            <w:left w:val="none" w:sz="0" w:space="0" w:color="auto"/>
            <w:bottom w:val="none" w:sz="0" w:space="0" w:color="auto"/>
            <w:right w:val="none" w:sz="0" w:space="0" w:color="auto"/>
          </w:divBdr>
        </w:div>
      </w:divsChild>
    </w:div>
    <w:div w:id="1507131580">
      <w:bodyDiv w:val="1"/>
      <w:marLeft w:val="0"/>
      <w:marRight w:val="0"/>
      <w:marTop w:val="0"/>
      <w:marBottom w:val="0"/>
      <w:divBdr>
        <w:top w:val="none" w:sz="0" w:space="0" w:color="auto"/>
        <w:left w:val="none" w:sz="0" w:space="0" w:color="auto"/>
        <w:bottom w:val="none" w:sz="0" w:space="0" w:color="auto"/>
        <w:right w:val="none" w:sz="0" w:space="0" w:color="auto"/>
      </w:divBdr>
      <w:divsChild>
        <w:div w:id="1282375619">
          <w:marLeft w:val="0"/>
          <w:marRight w:val="0"/>
          <w:marTop w:val="0"/>
          <w:marBottom w:val="0"/>
          <w:divBdr>
            <w:top w:val="none" w:sz="0" w:space="0" w:color="auto"/>
            <w:left w:val="none" w:sz="0" w:space="0" w:color="auto"/>
            <w:bottom w:val="none" w:sz="0" w:space="0" w:color="auto"/>
            <w:right w:val="none" w:sz="0" w:space="0" w:color="auto"/>
          </w:divBdr>
        </w:div>
      </w:divsChild>
    </w:div>
    <w:div w:id="1508251056">
      <w:bodyDiv w:val="1"/>
      <w:marLeft w:val="0"/>
      <w:marRight w:val="0"/>
      <w:marTop w:val="0"/>
      <w:marBottom w:val="0"/>
      <w:divBdr>
        <w:top w:val="none" w:sz="0" w:space="0" w:color="auto"/>
        <w:left w:val="none" w:sz="0" w:space="0" w:color="auto"/>
        <w:bottom w:val="none" w:sz="0" w:space="0" w:color="auto"/>
        <w:right w:val="none" w:sz="0" w:space="0" w:color="auto"/>
      </w:divBdr>
    </w:div>
    <w:div w:id="1511140101">
      <w:bodyDiv w:val="1"/>
      <w:marLeft w:val="0"/>
      <w:marRight w:val="0"/>
      <w:marTop w:val="0"/>
      <w:marBottom w:val="0"/>
      <w:divBdr>
        <w:top w:val="none" w:sz="0" w:space="0" w:color="auto"/>
        <w:left w:val="none" w:sz="0" w:space="0" w:color="auto"/>
        <w:bottom w:val="none" w:sz="0" w:space="0" w:color="auto"/>
        <w:right w:val="none" w:sz="0" w:space="0" w:color="auto"/>
      </w:divBdr>
    </w:div>
    <w:div w:id="1513569769">
      <w:bodyDiv w:val="1"/>
      <w:marLeft w:val="0"/>
      <w:marRight w:val="0"/>
      <w:marTop w:val="0"/>
      <w:marBottom w:val="0"/>
      <w:divBdr>
        <w:top w:val="none" w:sz="0" w:space="0" w:color="auto"/>
        <w:left w:val="none" w:sz="0" w:space="0" w:color="auto"/>
        <w:bottom w:val="none" w:sz="0" w:space="0" w:color="auto"/>
        <w:right w:val="none" w:sz="0" w:space="0" w:color="auto"/>
      </w:divBdr>
    </w:div>
    <w:div w:id="1538855674">
      <w:bodyDiv w:val="1"/>
      <w:marLeft w:val="0"/>
      <w:marRight w:val="0"/>
      <w:marTop w:val="0"/>
      <w:marBottom w:val="0"/>
      <w:divBdr>
        <w:top w:val="none" w:sz="0" w:space="0" w:color="auto"/>
        <w:left w:val="none" w:sz="0" w:space="0" w:color="auto"/>
        <w:bottom w:val="none" w:sz="0" w:space="0" w:color="auto"/>
        <w:right w:val="none" w:sz="0" w:space="0" w:color="auto"/>
      </w:divBdr>
    </w:div>
    <w:div w:id="1541933887">
      <w:bodyDiv w:val="1"/>
      <w:marLeft w:val="0"/>
      <w:marRight w:val="0"/>
      <w:marTop w:val="0"/>
      <w:marBottom w:val="0"/>
      <w:divBdr>
        <w:top w:val="none" w:sz="0" w:space="0" w:color="auto"/>
        <w:left w:val="none" w:sz="0" w:space="0" w:color="auto"/>
        <w:bottom w:val="none" w:sz="0" w:space="0" w:color="auto"/>
        <w:right w:val="none" w:sz="0" w:space="0" w:color="auto"/>
      </w:divBdr>
    </w:div>
    <w:div w:id="1548564982">
      <w:bodyDiv w:val="1"/>
      <w:marLeft w:val="0"/>
      <w:marRight w:val="0"/>
      <w:marTop w:val="0"/>
      <w:marBottom w:val="0"/>
      <w:divBdr>
        <w:top w:val="none" w:sz="0" w:space="0" w:color="auto"/>
        <w:left w:val="none" w:sz="0" w:space="0" w:color="auto"/>
        <w:bottom w:val="none" w:sz="0" w:space="0" w:color="auto"/>
        <w:right w:val="none" w:sz="0" w:space="0" w:color="auto"/>
      </w:divBdr>
    </w:div>
    <w:div w:id="1551262517">
      <w:bodyDiv w:val="1"/>
      <w:marLeft w:val="0"/>
      <w:marRight w:val="0"/>
      <w:marTop w:val="0"/>
      <w:marBottom w:val="0"/>
      <w:divBdr>
        <w:top w:val="none" w:sz="0" w:space="0" w:color="auto"/>
        <w:left w:val="none" w:sz="0" w:space="0" w:color="auto"/>
        <w:bottom w:val="none" w:sz="0" w:space="0" w:color="auto"/>
        <w:right w:val="none" w:sz="0" w:space="0" w:color="auto"/>
      </w:divBdr>
    </w:div>
    <w:div w:id="1553229444">
      <w:bodyDiv w:val="1"/>
      <w:marLeft w:val="0"/>
      <w:marRight w:val="0"/>
      <w:marTop w:val="0"/>
      <w:marBottom w:val="0"/>
      <w:divBdr>
        <w:top w:val="none" w:sz="0" w:space="0" w:color="auto"/>
        <w:left w:val="none" w:sz="0" w:space="0" w:color="auto"/>
        <w:bottom w:val="none" w:sz="0" w:space="0" w:color="auto"/>
        <w:right w:val="none" w:sz="0" w:space="0" w:color="auto"/>
      </w:divBdr>
    </w:div>
    <w:div w:id="1555778131">
      <w:bodyDiv w:val="1"/>
      <w:marLeft w:val="0"/>
      <w:marRight w:val="0"/>
      <w:marTop w:val="0"/>
      <w:marBottom w:val="0"/>
      <w:divBdr>
        <w:top w:val="none" w:sz="0" w:space="0" w:color="auto"/>
        <w:left w:val="none" w:sz="0" w:space="0" w:color="auto"/>
        <w:bottom w:val="none" w:sz="0" w:space="0" w:color="auto"/>
        <w:right w:val="none" w:sz="0" w:space="0" w:color="auto"/>
      </w:divBdr>
    </w:div>
    <w:div w:id="1559904015">
      <w:bodyDiv w:val="1"/>
      <w:marLeft w:val="0"/>
      <w:marRight w:val="0"/>
      <w:marTop w:val="0"/>
      <w:marBottom w:val="0"/>
      <w:divBdr>
        <w:top w:val="none" w:sz="0" w:space="0" w:color="auto"/>
        <w:left w:val="none" w:sz="0" w:space="0" w:color="auto"/>
        <w:bottom w:val="none" w:sz="0" w:space="0" w:color="auto"/>
        <w:right w:val="none" w:sz="0" w:space="0" w:color="auto"/>
      </w:divBdr>
    </w:div>
    <w:div w:id="1567373264">
      <w:bodyDiv w:val="1"/>
      <w:marLeft w:val="0"/>
      <w:marRight w:val="0"/>
      <w:marTop w:val="0"/>
      <w:marBottom w:val="0"/>
      <w:divBdr>
        <w:top w:val="none" w:sz="0" w:space="0" w:color="auto"/>
        <w:left w:val="none" w:sz="0" w:space="0" w:color="auto"/>
        <w:bottom w:val="none" w:sz="0" w:space="0" w:color="auto"/>
        <w:right w:val="none" w:sz="0" w:space="0" w:color="auto"/>
      </w:divBdr>
    </w:div>
    <w:div w:id="1567375024">
      <w:bodyDiv w:val="1"/>
      <w:marLeft w:val="0"/>
      <w:marRight w:val="0"/>
      <w:marTop w:val="0"/>
      <w:marBottom w:val="0"/>
      <w:divBdr>
        <w:top w:val="none" w:sz="0" w:space="0" w:color="auto"/>
        <w:left w:val="none" w:sz="0" w:space="0" w:color="auto"/>
        <w:bottom w:val="none" w:sz="0" w:space="0" w:color="auto"/>
        <w:right w:val="none" w:sz="0" w:space="0" w:color="auto"/>
      </w:divBdr>
    </w:div>
    <w:div w:id="1585647672">
      <w:bodyDiv w:val="1"/>
      <w:marLeft w:val="0"/>
      <w:marRight w:val="0"/>
      <w:marTop w:val="0"/>
      <w:marBottom w:val="0"/>
      <w:divBdr>
        <w:top w:val="none" w:sz="0" w:space="0" w:color="auto"/>
        <w:left w:val="none" w:sz="0" w:space="0" w:color="auto"/>
        <w:bottom w:val="none" w:sz="0" w:space="0" w:color="auto"/>
        <w:right w:val="none" w:sz="0" w:space="0" w:color="auto"/>
      </w:divBdr>
    </w:div>
    <w:div w:id="1598828937">
      <w:bodyDiv w:val="1"/>
      <w:marLeft w:val="0"/>
      <w:marRight w:val="0"/>
      <w:marTop w:val="0"/>
      <w:marBottom w:val="0"/>
      <w:divBdr>
        <w:top w:val="none" w:sz="0" w:space="0" w:color="auto"/>
        <w:left w:val="none" w:sz="0" w:space="0" w:color="auto"/>
        <w:bottom w:val="none" w:sz="0" w:space="0" w:color="auto"/>
        <w:right w:val="none" w:sz="0" w:space="0" w:color="auto"/>
      </w:divBdr>
    </w:div>
    <w:div w:id="1610312070">
      <w:bodyDiv w:val="1"/>
      <w:marLeft w:val="0"/>
      <w:marRight w:val="0"/>
      <w:marTop w:val="0"/>
      <w:marBottom w:val="0"/>
      <w:divBdr>
        <w:top w:val="none" w:sz="0" w:space="0" w:color="auto"/>
        <w:left w:val="none" w:sz="0" w:space="0" w:color="auto"/>
        <w:bottom w:val="none" w:sz="0" w:space="0" w:color="auto"/>
        <w:right w:val="none" w:sz="0" w:space="0" w:color="auto"/>
      </w:divBdr>
      <w:divsChild>
        <w:div w:id="1758792347">
          <w:marLeft w:val="0"/>
          <w:marRight w:val="0"/>
          <w:marTop w:val="0"/>
          <w:marBottom w:val="0"/>
          <w:divBdr>
            <w:top w:val="single" w:sz="2" w:space="0" w:color="auto"/>
            <w:left w:val="single" w:sz="2" w:space="0" w:color="auto"/>
            <w:bottom w:val="single" w:sz="2" w:space="0" w:color="auto"/>
            <w:right w:val="single" w:sz="2" w:space="0" w:color="auto"/>
          </w:divBdr>
          <w:divsChild>
            <w:div w:id="26858667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633560736">
      <w:bodyDiv w:val="1"/>
      <w:marLeft w:val="0"/>
      <w:marRight w:val="0"/>
      <w:marTop w:val="0"/>
      <w:marBottom w:val="0"/>
      <w:divBdr>
        <w:top w:val="none" w:sz="0" w:space="0" w:color="auto"/>
        <w:left w:val="none" w:sz="0" w:space="0" w:color="auto"/>
        <w:bottom w:val="none" w:sz="0" w:space="0" w:color="auto"/>
        <w:right w:val="none" w:sz="0" w:space="0" w:color="auto"/>
      </w:divBdr>
    </w:div>
    <w:div w:id="1635597430">
      <w:bodyDiv w:val="1"/>
      <w:marLeft w:val="0"/>
      <w:marRight w:val="0"/>
      <w:marTop w:val="0"/>
      <w:marBottom w:val="0"/>
      <w:divBdr>
        <w:top w:val="none" w:sz="0" w:space="0" w:color="auto"/>
        <w:left w:val="none" w:sz="0" w:space="0" w:color="auto"/>
        <w:bottom w:val="none" w:sz="0" w:space="0" w:color="auto"/>
        <w:right w:val="none" w:sz="0" w:space="0" w:color="auto"/>
      </w:divBdr>
      <w:divsChild>
        <w:div w:id="1297613036">
          <w:marLeft w:val="0"/>
          <w:marRight w:val="0"/>
          <w:marTop w:val="0"/>
          <w:marBottom w:val="0"/>
          <w:divBdr>
            <w:top w:val="none" w:sz="0" w:space="0" w:color="auto"/>
            <w:left w:val="none" w:sz="0" w:space="0" w:color="auto"/>
            <w:bottom w:val="none" w:sz="0" w:space="0" w:color="auto"/>
            <w:right w:val="none" w:sz="0" w:space="0" w:color="auto"/>
          </w:divBdr>
        </w:div>
      </w:divsChild>
    </w:div>
    <w:div w:id="1637447217">
      <w:bodyDiv w:val="1"/>
      <w:marLeft w:val="0"/>
      <w:marRight w:val="0"/>
      <w:marTop w:val="0"/>
      <w:marBottom w:val="0"/>
      <w:divBdr>
        <w:top w:val="none" w:sz="0" w:space="0" w:color="auto"/>
        <w:left w:val="none" w:sz="0" w:space="0" w:color="auto"/>
        <w:bottom w:val="none" w:sz="0" w:space="0" w:color="auto"/>
        <w:right w:val="none" w:sz="0" w:space="0" w:color="auto"/>
      </w:divBdr>
    </w:div>
    <w:div w:id="1638336534">
      <w:bodyDiv w:val="1"/>
      <w:marLeft w:val="0"/>
      <w:marRight w:val="0"/>
      <w:marTop w:val="0"/>
      <w:marBottom w:val="0"/>
      <w:divBdr>
        <w:top w:val="none" w:sz="0" w:space="0" w:color="auto"/>
        <w:left w:val="none" w:sz="0" w:space="0" w:color="auto"/>
        <w:bottom w:val="none" w:sz="0" w:space="0" w:color="auto"/>
        <w:right w:val="none" w:sz="0" w:space="0" w:color="auto"/>
      </w:divBdr>
    </w:div>
    <w:div w:id="1642226128">
      <w:bodyDiv w:val="1"/>
      <w:marLeft w:val="0"/>
      <w:marRight w:val="0"/>
      <w:marTop w:val="0"/>
      <w:marBottom w:val="0"/>
      <w:divBdr>
        <w:top w:val="none" w:sz="0" w:space="0" w:color="auto"/>
        <w:left w:val="none" w:sz="0" w:space="0" w:color="auto"/>
        <w:bottom w:val="none" w:sz="0" w:space="0" w:color="auto"/>
        <w:right w:val="none" w:sz="0" w:space="0" w:color="auto"/>
      </w:divBdr>
    </w:div>
    <w:div w:id="1649430651">
      <w:bodyDiv w:val="1"/>
      <w:marLeft w:val="0"/>
      <w:marRight w:val="0"/>
      <w:marTop w:val="0"/>
      <w:marBottom w:val="0"/>
      <w:divBdr>
        <w:top w:val="none" w:sz="0" w:space="0" w:color="auto"/>
        <w:left w:val="none" w:sz="0" w:space="0" w:color="auto"/>
        <w:bottom w:val="none" w:sz="0" w:space="0" w:color="auto"/>
        <w:right w:val="none" w:sz="0" w:space="0" w:color="auto"/>
      </w:divBdr>
    </w:div>
    <w:div w:id="1656182833">
      <w:bodyDiv w:val="1"/>
      <w:marLeft w:val="0"/>
      <w:marRight w:val="0"/>
      <w:marTop w:val="0"/>
      <w:marBottom w:val="0"/>
      <w:divBdr>
        <w:top w:val="none" w:sz="0" w:space="0" w:color="auto"/>
        <w:left w:val="none" w:sz="0" w:space="0" w:color="auto"/>
        <w:bottom w:val="none" w:sz="0" w:space="0" w:color="auto"/>
        <w:right w:val="none" w:sz="0" w:space="0" w:color="auto"/>
      </w:divBdr>
    </w:div>
    <w:div w:id="1657104639">
      <w:bodyDiv w:val="1"/>
      <w:marLeft w:val="0"/>
      <w:marRight w:val="0"/>
      <w:marTop w:val="0"/>
      <w:marBottom w:val="0"/>
      <w:divBdr>
        <w:top w:val="none" w:sz="0" w:space="0" w:color="auto"/>
        <w:left w:val="none" w:sz="0" w:space="0" w:color="auto"/>
        <w:bottom w:val="none" w:sz="0" w:space="0" w:color="auto"/>
        <w:right w:val="none" w:sz="0" w:space="0" w:color="auto"/>
      </w:divBdr>
    </w:div>
    <w:div w:id="1657490117">
      <w:bodyDiv w:val="1"/>
      <w:marLeft w:val="0"/>
      <w:marRight w:val="0"/>
      <w:marTop w:val="0"/>
      <w:marBottom w:val="0"/>
      <w:divBdr>
        <w:top w:val="none" w:sz="0" w:space="0" w:color="auto"/>
        <w:left w:val="none" w:sz="0" w:space="0" w:color="auto"/>
        <w:bottom w:val="none" w:sz="0" w:space="0" w:color="auto"/>
        <w:right w:val="none" w:sz="0" w:space="0" w:color="auto"/>
      </w:divBdr>
    </w:div>
    <w:div w:id="1683628080">
      <w:bodyDiv w:val="1"/>
      <w:marLeft w:val="0"/>
      <w:marRight w:val="0"/>
      <w:marTop w:val="0"/>
      <w:marBottom w:val="0"/>
      <w:divBdr>
        <w:top w:val="none" w:sz="0" w:space="0" w:color="auto"/>
        <w:left w:val="none" w:sz="0" w:space="0" w:color="auto"/>
        <w:bottom w:val="none" w:sz="0" w:space="0" w:color="auto"/>
        <w:right w:val="none" w:sz="0" w:space="0" w:color="auto"/>
      </w:divBdr>
    </w:div>
    <w:div w:id="1685010078">
      <w:bodyDiv w:val="1"/>
      <w:marLeft w:val="0"/>
      <w:marRight w:val="0"/>
      <w:marTop w:val="0"/>
      <w:marBottom w:val="0"/>
      <w:divBdr>
        <w:top w:val="none" w:sz="0" w:space="0" w:color="auto"/>
        <w:left w:val="none" w:sz="0" w:space="0" w:color="auto"/>
        <w:bottom w:val="none" w:sz="0" w:space="0" w:color="auto"/>
        <w:right w:val="none" w:sz="0" w:space="0" w:color="auto"/>
      </w:divBdr>
    </w:div>
    <w:div w:id="1698234504">
      <w:bodyDiv w:val="1"/>
      <w:marLeft w:val="0"/>
      <w:marRight w:val="0"/>
      <w:marTop w:val="0"/>
      <w:marBottom w:val="0"/>
      <w:divBdr>
        <w:top w:val="none" w:sz="0" w:space="0" w:color="auto"/>
        <w:left w:val="none" w:sz="0" w:space="0" w:color="auto"/>
        <w:bottom w:val="none" w:sz="0" w:space="0" w:color="auto"/>
        <w:right w:val="none" w:sz="0" w:space="0" w:color="auto"/>
      </w:divBdr>
    </w:div>
    <w:div w:id="1699355667">
      <w:bodyDiv w:val="1"/>
      <w:marLeft w:val="0"/>
      <w:marRight w:val="0"/>
      <w:marTop w:val="0"/>
      <w:marBottom w:val="0"/>
      <w:divBdr>
        <w:top w:val="none" w:sz="0" w:space="0" w:color="auto"/>
        <w:left w:val="none" w:sz="0" w:space="0" w:color="auto"/>
        <w:bottom w:val="none" w:sz="0" w:space="0" w:color="auto"/>
        <w:right w:val="none" w:sz="0" w:space="0" w:color="auto"/>
      </w:divBdr>
    </w:div>
    <w:div w:id="1705866421">
      <w:bodyDiv w:val="1"/>
      <w:marLeft w:val="0"/>
      <w:marRight w:val="0"/>
      <w:marTop w:val="0"/>
      <w:marBottom w:val="0"/>
      <w:divBdr>
        <w:top w:val="none" w:sz="0" w:space="0" w:color="auto"/>
        <w:left w:val="none" w:sz="0" w:space="0" w:color="auto"/>
        <w:bottom w:val="none" w:sz="0" w:space="0" w:color="auto"/>
        <w:right w:val="none" w:sz="0" w:space="0" w:color="auto"/>
      </w:divBdr>
    </w:div>
    <w:div w:id="1711346025">
      <w:bodyDiv w:val="1"/>
      <w:marLeft w:val="0"/>
      <w:marRight w:val="0"/>
      <w:marTop w:val="0"/>
      <w:marBottom w:val="0"/>
      <w:divBdr>
        <w:top w:val="none" w:sz="0" w:space="0" w:color="auto"/>
        <w:left w:val="none" w:sz="0" w:space="0" w:color="auto"/>
        <w:bottom w:val="none" w:sz="0" w:space="0" w:color="auto"/>
        <w:right w:val="none" w:sz="0" w:space="0" w:color="auto"/>
      </w:divBdr>
    </w:div>
    <w:div w:id="1712680940">
      <w:bodyDiv w:val="1"/>
      <w:marLeft w:val="0"/>
      <w:marRight w:val="0"/>
      <w:marTop w:val="0"/>
      <w:marBottom w:val="0"/>
      <w:divBdr>
        <w:top w:val="none" w:sz="0" w:space="0" w:color="auto"/>
        <w:left w:val="none" w:sz="0" w:space="0" w:color="auto"/>
        <w:bottom w:val="none" w:sz="0" w:space="0" w:color="auto"/>
        <w:right w:val="none" w:sz="0" w:space="0" w:color="auto"/>
      </w:divBdr>
    </w:div>
    <w:div w:id="1713797499">
      <w:bodyDiv w:val="1"/>
      <w:marLeft w:val="0"/>
      <w:marRight w:val="0"/>
      <w:marTop w:val="0"/>
      <w:marBottom w:val="0"/>
      <w:divBdr>
        <w:top w:val="none" w:sz="0" w:space="0" w:color="auto"/>
        <w:left w:val="none" w:sz="0" w:space="0" w:color="auto"/>
        <w:bottom w:val="none" w:sz="0" w:space="0" w:color="auto"/>
        <w:right w:val="none" w:sz="0" w:space="0" w:color="auto"/>
      </w:divBdr>
    </w:div>
    <w:div w:id="1714113207">
      <w:bodyDiv w:val="1"/>
      <w:marLeft w:val="0"/>
      <w:marRight w:val="0"/>
      <w:marTop w:val="0"/>
      <w:marBottom w:val="0"/>
      <w:divBdr>
        <w:top w:val="none" w:sz="0" w:space="0" w:color="auto"/>
        <w:left w:val="none" w:sz="0" w:space="0" w:color="auto"/>
        <w:bottom w:val="none" w:sz="0" w:space="0" w:color="auto"/>
        <w:right w:val="none" w:sz="0" w:space="0" w:color="auto"/>
      </w:divBdr>
    </w:div>
    <w:div w:id="1716157912">
      <w:bodyDiv w:val="1"/>
      <w:marLeft w:val="0"/>
      <w:marRight w:val="0"/>
      <w:marTop w:val="0"/>
      <w:marBottom w:val="0"/>
      <w:divBdr>
        <w:top w:val="none" w:sz="0" w:space="0" w:color="auto"/>
        <w:left w:val="none" w:sz="0" w:space="0" w:color="auto"/>
        <w:bottom w:val="none" w:sz="0" w:space="0" w:color="auto"/>
        <w:right w:val="none" w:sz="0" w:space="0" w:color="auto"/>
      </w:divBdr>
    </w:div>
    <w:div w:id="1716198684">
      <w:bodyDiv w:val="1"/>
      <w:marLeft w:val="0"/>
      <w:marRight w:val="0"/>
      <w:marTop w:val="0"/>
      <w:marBottom w:val="0"/>
      <w:divBdr>
        <w:top w:val="none" w:sz="0" w:space="0" w:color="auto"/>
        <w:left w:val="none" w:sz="0" w:space="0" w:color="auto"/>
        <w:bottom w:val="none" w:sz="0" w:space="0" w:color="auto"/>
        <w:right w:val="none" w:sz="0" w:space="0" w:color="auto"/>
      </w:divBdr>
    </w:div>
    <w:div w:id="1718506053">
      <w:bodyDiv w:val="1"/>
      <w:marLeft w:val="0"/>
      <w:marRight w:val="0"/>
      <w:marTop w:val="0"/>
      <w:marBottom w:val="0"/>
      <w:divBdr>
        <w:top w:val="none" w:sz="0" w:space="0" w:color="auto"/>
        <w:left w:val="none" w:sz="0" w:space="0" w:color="auto"/>
        <w:bottom w:val="none" w:sz="0" w:space="0" w:color="auto"/>
        <w:right w:val="none" w:sz="0" w:space="0" w:color="auto"/>
      </w:divBdr>
    </w:div>
    <w:div w:id="1729260258">
      <w:bodyDiv w:val="1"/>
      <w:marLeft w:val="0"/>
      <w:marRight w:val="0"/>
      <w:marTop w:val="0"/>
      <w:marBottom w:val="0"/>
      <w:divBdr>
        <w:top w:val="none" w:sz="0" w:space="0" w:color="auto"/>
        <w:left w:val="none" w:sz="0" w:space="0" w:color="auto"/>
        <w:bottom w:val="none" w:sz="0" w:space="0" w:color="auto"/>
        <w:right w:val="none" w:sz="0" w:space="0" w:color="auto"/>
      </w:divBdr>
      <w:divsChild>
        <w:div w:id="947543559">
          <w:marLeft w:val="0"/>
          <w:marRight w:val="0"/>
          <w:marTop w:val="0"/>
          <w:marBottom w:val="0"/>
          <w:divBdr>
            <w:top w:val="single" w:sz="2" w:space="0" w:color="auto"/>
            <w:left w:val="single" w:sz="2" w:space="0" w:color="auto"/>
            <w:bottom w:val="single" w:sz="2" w:space="0" w:color="auto"/>
            <w:right w:val="single" w:sz="2" w:space="0" w:color="auto"/>
          </w:divBdr>
          <w:divsChild>
            <w:div w:id="724643391">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730379653">
      <w:bodyDiv w:val="1"/>
      <w:marLeft w:val="0"/>
      <w:marRight w:val="0"/>
      <w:marTop w:val="0"/>
      <w:marBottom w:val="0"/>
      <w:divBdr>
        <w:top w:val="none" w:sz="0" w:space="0" w:color="auto"/>
        <w:left w:val="none" w:sz="0" w:space="0" w:color="auto"/>
        <w:bottom w:val="none" w:sz="0" w:space="0" w:color="auto"/>
        <w:right w:val="none" w:sz="0" w:space="0" w:color="auto"/>
      </w:divBdr>
    </w:div>
    <w:div w:id="1737582872">
      <w:bodyDiv w:val="1"/>
      <w:marLeft w:val="0"/>
      <w:marRight w:val="0"/>
      <w:marTop w:val="0"/>
      <w:marBottom w:val="0"/>
      <w:divBdr>
        <w:top w:val="none" w:sz="0" w:space="0" w:color="auto"/>
        <w:left w:val="none" w:sz="0" w:space="0" w:color="auto"/>
        <w:bottom w:val="none" w:sz="0" w:space="0" w:color="auto"/>
        <w:right w:val="none" w:sz="0" w:space="0" w:color="auto"/>
      </w:divBdr>
      <w:divsChild>
        <w:div w:id="1848714052">
          <w:marLeft w:val="0"/>
          <w:marRight w:val="0"/>
          <w:marTop w:val="0"/>
          <w:marBottom w:val="0"/>
          <w:divBdr>
            <w:top w:val="single" w:sz="2" w:space="0" w:color="auto"/>
            <w:left w:val="single" w:sz="2" w:space="0" w:color="auto"/>
            <w:bottom w:val="single" w:sz="2" w:space="0" w:color="auto"/>
            <w:right w:val="single" w:sz="2" w:space="0" w:color="auto"/>
          </w:divBdr>
          <w:divsChild>
            <w:div w:id="115271441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750467399">
      <w:bodyDiv w:val="1"/>
      <w:marLeft w:val="0"/>
      <w:marRight w:val="0"/>
      <w:marTop w:val="0"/>
      <w:marBottom w:val="0"/>
      <w:divBdr>
        <w:top w:val="none" w:sz="0" w:space="0" w:color="auto"/>
        <w:left w:val="none" w:sz="0" w:space="0" w:color="auto"/>
        <w:bottom w:val="none" w:sz="0" w:space="0" w:color="auto"/>
        <w:right w:val="none" w:sz="0" w:space="0" w:color="auto"/>
      </w:divBdr>
      <w:divsChild>
        <w:div w:id="1277904420">
          <w:marLeft w:val="0"/>
          <w:marRight w:val="0"/>
          <w:marTop w:val="0"/>
          <w:marBottom w:val="0"/>
          <w:divBdr>
            <w:top w:val="single" w:sz="2" w:space="0" w:color="auto"/>
            <w:left w:val="single" w:sz="2" w:space="0" w:color="auto"/>
            <w:bottom w:val="single" w:sz="2" w:space="0" w:color="auto"/>
            <w:right w:val="single" w:sz="2" w:space="0" w:color="auto"/>
          </w:divBdr>
          <w:divsChild>
            <w:div w:id="1263344821">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752197018">
      <w:bodyDiv w:val="1"/>
      <w:marLeft w:val="0"/>
      <w:marRight w:val="0"/>
      <w:marTop w:val="0"/>
      <w:marBottom w:val="0"/>
      <w:divBdr>
        <w:top w:val="none" w:sz="0" w:space="0" w:color="auto"/>
        <w:left w:val="none" w:sz="0" w:space="0" w:color="auto"/>
        <w:bottom w:val="none" w:sz="0" w:space="0" w:color="auto"/>
        <w:right w:val="none" w:sz="0" w:space="0" w:color="auto"/>
      </w:divBdr>
    </w:div>
    <w:div w:id="1759672152">
      <w:bodyDiv w:val="1"/>
      <w:marLeft w:val="0"/>
      <w:marRight w:val="0"/>
      <w:marTop w:val="0"/>
      <w:marBottom w:val="0"/>
      <w:divBdr>
        <w:top w:val="none" w:sz="0" w:space="0" w:color="auto"/>
        <w:left w:val="none" w:sz="0" w:space="0" w:color="auto"/>
        <w:bottom w:val="none" w:sz="0" w:space="0" w:color="auto"/>
        <w:right w:val="none" w:sz="0" w:space="0" w:color="auto"/>
      </w:divBdr>
    </w:div>
    <w:div w:id="1762412818">
      <w:bodyDiv w:val="1"/>
      <w:marLeft w:val="0"/>
      <w:marRight w:val="0"/>
      <w:marTop w:val="0"/>
      <w:marBottom w:val="0"/>
      <w:divBdr>
        <w:top w:val="none" w:sz="0" w:space="0" w:color="auto"/>
        <w:left w:val="none" w:sz="0" w:space="0" w:color="auto"/>
        <w:bottom w:val="none" w:sz="0" w:space="0" w:color="auto"/>
        <w:right w:val="none" w:sz="0" w:space="0" w:color="auto"/>
      </w:divBdr>
    </w:div>
    <w:div w:id="1767261424">
      <w:bodyDiv w:val="1"/>
      <w:marLeft w:val="0"/>
      <w:marRight w:val="0"/>
      <w:marTop w:val="0"/>
      <w:marBottom w:val="0"/>
      <w:divBdr>
        <w:top w:val="none" w:sz="0" w:space="0" w:color="auto"/>
        <w:left w:val="none" w:sz="0" w:space="0" w:color="auto"/>
        <w:bottom w:val="none" w:sz="0" w:space="0" w:color="auto"/>
        <w:right w:val="none" w:sz="0" w:space="0" w:color="auto"/>
      </w:divBdr>
    </w:div>
    <w:div w:id="1780442499">
      <w:bodyDiv w:val="1"/>
      <w:marLeft w:val="0"/>
      <w:marRight w:val="0"/>
      <w:marTop w:val="0"/>
      <w:marBottom w:val="0"/>
      <w:divBdr>
        <w:top w:val="none" w:sz="0" w:space="0" w:color="auto"/>
        <w:left w:val="none" w:sz="0" w:space="0" w:color="auto"/>
        <w:bottom w:val="none" w:sz="0" w:space="0" w:color="auto"/>
        <w:right w:val="none" w:sz="0" w:space="0" w:color="auto"/>
      </w:divBdr>
    </w:div>
    <w:div w:id="1780561434">
      <w:bodyDiv w:val="1"/>
      <w:marLeft w:val="0"/>
      <w:marRight w:val="0"/>
      <w:marTop w:val="0"/>
      <w:marBottom w:val="0"/>
      <w:divBdr>
        <w:top w:val="none" w:sz="0" w:space="0" w:color="auto"/>
        <w:left w:val="none" w:sz="0" w:space="0" w:color="auto"/>
        <w:bottom w:val="none" w:sz="0" w:space="0" w:color="auto"/>
        <w:right w:val="none" w:sz="0" w:space="0" w:color="auto"/>
      </w:divBdr>
    </w:div>
    <w:div w:id="1797410242">
      <w:bodyDiv w:val="1"/>
      <w:marLeft w:val="0"/>
      <w:marRight w:val="0"/>
      <w:marTop w:val="0"/>
      <w:marBottom w:val="0"/>
      <w:divBdr>
        <w:top w:val="none" w:sz="0" w:space="0" w:color="auto"/>
        <w:left w:val="none" w:sz="0" w:space="0" w:color="auto"/>
        <w:bottom w:val="none" w:sz="0" w:space="0" w:color="auto"/>
        <w:right w:val="none" w:sz="0" w:space="0" w:color="auto"/>
      </w:divBdr>
    </w:div>
    <w:div w:id="1804540575">
      <w:bodyDiv w:val="1"/>
      <w:marLeft w:val="0"/>
      <w:marRight w:val="0"/>
      <w:marTop w:val="0"/>
      <w:marBottom w:val="0"/>
      <w:divBdr>
        <w:top w:val="none" w:sz="0" w:space="0" w:color="auto"/>
        <w:left w:val="none" w:sz="0" w:space="0" w:color="auto"/>
        <w:bottom w:val="none" w:sz="0" w:space="0" w:color="auto"/>
        <w:right w:val="none" w:sz="0" w:space="0" w:color="auto"/>
      </w:divBdr>
    </w:div>
    <w:div w:id="1805153810">
      <w:bodyDiv w:val="1"/>
      <w:marLeft w:val="0"/>
      <w:marRight w:val="0"/>
      <w:marTop w:val="0"/>
      <w:marBottom w:val="0"/>
      <w:divBdr>
        <w:top w:val="none" w:sz="0" w:space="0" w:color="auto"/>
        <w:left w:val="none" w:sz="0" w:space="0" w:color="auto"/>
        <w:bottom w:val="none" w:sz="0" w:space="0" w:color="auto"/>
        <w:right w:val="none" w:sz="0" w:space="0" w:color="auto"/>
      </w:divBdr>
    </w:div>
    <w:div w:id="1805350307">
      <w:bodyDiv w:val="1"/>
      <w:marLeft w:val="0"/>
      <w:marRight w:val="0"/>
      <w:marTop w:val="0"/>
      <w:marBottom w:val="0"/>
      <w:divBdr>
        <w:top w:val="none" w:sz="0" w:space="0" w:color="auto"/>
        <w:left w:val="none" w:sz="0" w:space="0" w:color="auto"/>
        <w:bottom w:val="none" w:sz="0" w:space="0" w:color="auto"/>
        <w:right w:val="none" w:sz="0" w:space="0" w:color="auto"/>
      </w:divBdr>
    </w:div>
    <w:div w:id="1809854054">
      <w:bodyDiv w:val="1"/>
      <w:marLeft w:val="0"/>
      <w:marRight w:val="0"/>
      <w:marTop w:val="0"/>
      <w:marBottom w:val="0"/>
      <w:divBdr>
        <w:top w:val="none" w:sz="0" w:space="0" w:color="auto"/>
        <w:left w:val="none" w:sz="0" w:space="0" w:color="auto"/>
        <w:bottom w:val="none" w:sz="0" w:space="0" w:color="auto"/>
        <w:right w:val="none" w:sz="0" w:space="0" w:color="auto"/>
      </w:divBdr>
    </w:div>
    <w:div w:id="1820339296">
      <w:bodyDiv w:val="1"/>
      <w:marLeft w:val="0"/>
      <w:marRight w:val="0"/>
      <w:marTop w:val="0"/>
      <w:marBottom w:val="0"/>
      <w:divBdr>
        <w:top w:val="none" w:sz="0" w:space="0" w:color="auto"/>
        <w:left w:val="none" w:sz="0" w:space="0" w:color="auto"/>
        <w:bottom w:val="none" w:sz="0" w:space="0" w:color="auto"/>
        <w:right w:val="none" w:sz="0" w:space="0" w:color="auto"/>
      </w:divBdr>
    </w:div>
    <w:div w:id="1828862043">
      <w:bodyDiv w:val="1"/>
      <w:marLeft w:val="0"/>
      <w:marRight w:val="0"/>
      <w:marTop w:val="0"/>
      <w:marBottom w:val="0"/>
      <w:divBdr>
        <w:top w:val="none" w:sz="0" w:space="0" w:color="auto"/>
        <w:left w:val="none" w:sz="0" w:space="0" w:color="auto"/>
        <w:bottom w:val="none" w:sz="0" w:space="0" w:color="auto"/>
        <w:right w:val="none" w:sz="0" w:space="0" w:color="auto"/>
      </w:divBdr>
    </w:div>
    <w:div w:id="1833255992">
      <w:bodyDiv w:val="1"/>
      <w:marLeft w:val="0"/>
      <w:marRight w:val="0"/>
      <w:marTop w:val="0"/>
      <w:marBottom w:val="0"/>
      <w:divBdr>
        <w:top w:val="none" w:sz="0" w:space="0" w:color="auto"/>
        <w:left w:val="none" w:sz="0" w:space="0" w:color="auto"/>
        <w:bottom w:val="none" w:sz="0" w:space="0" w:color="auto"/>
        <w:right w:val="none" w:sz="0" w:space="0" w:color="auto"/>
      </w:divBdr>
    </w:div>
    <w:div w:id="1845317990">
      <w:bodyDiv w:val="1"/>
      <w:marLeft w:val="0"/>
      <w:marRight w:val="0"/>
      <w:marTop w:val="0"/>
      <w:marBottom w:val="0"/>
      <w:divBdr>
        <w:top w:val="none" w:sz="0" w:space="0" w:color="auto"/>
        <w:left w:val="none" w:sz="0" w:space="0" w:color="auto"/>
        <w:bottom w:val="none" w:sz="0" w:space="0" w:color="auto"/>
        <w:right w:val="none" w:sz="0" w:space="0" w:color="auto"/>
      </w:divBdr>
    </w:div>
    <w:div w:id="1848474024">
      <w:bodyDiv w:val="1"/>
      <w:marLeft w:val="0"/>
      <w:marRight w:val="0"/>
      <w:marTop w:val="0"/>
      <w:marBottom w:val="0"/>
      <w:divBdr>
        <w:top w:val="none" w:sz="0" w:space="0" w:color="auto"/>
        <w:left w:val="none" w:sz="0" w:space="0" w:color="auto"/>
        <w:bottom w:val="none" w:sz="0" w:space="0" w:color="auto"/>
        <w:right w:val="none" w:sz="0" w:space="0" w:color="auto"/>
      </w:divBdr>
    </w:div>
    <w:div w:id="1866401488">
      <w:bodyDiv w:val="1"/>
      <w:marLeft w:val="0"/>
      <w:marRight w:val="0"/>
      <w:marTop w:val="0"/>
      <w:marBottom w:val="0"/>
      <w:divBdr>
        <w:top w:val="none" w:sz="0" w:space="0" w:color="auto"/>
        <w:left w:val="none" w:sz="0" w:space="0" w:color="auto"/>
        <w:bottom w:val="none" w:sz="0" w:space="0" w:color="auto"/>
        <w:right w:val="none" w:sz="0" w:space="0" w:color="auto"/>
      </w:divBdr>
    </w:div>
    <w:div w:id="1870147678">
      <w:bodyDiv w:val="1"/>
      <w:marLeft w:val="0"/>
      <w:marRight w:val="0"/>
      <w:marTop w:val="0"/>
      <w:marBottom w:val="0"/>
      <w:divBdr>
        <w:top w:val="none" w:sz="0" w:space="0" w:color="auto"/>
        <w:left w:val="none" w:sz="0" w:space="0" w:color="auto"/>
        <w:bottom w:val="none" w:sz="0" w:space="0" w:color="auto"/>
        <w:right w:val="none" w:sz="0" w:space="0" w:color="auto"/>
      </w:divBdr>
    </w:div>
    <w:div w:id="1875070063">
      <w:bodyDiv w:val="1"/>
      <w:marLeft w:val="0"/>
      <w:marRight w:val="0"/>
      <w:marTop w:val="0"/>
      <w:marBottom w:val="0"/>
      <w:divBdr>
        <w:top w:val="none" w:sz="0" w:space="0" w:color="auto"/>
        <w:left w:val="none" w:sz="0" w:space="0" w:color="auto"/>
        <w:bottom w:val="none" w:sz="0" w:space="0" w:color="auto"/>
        <w:right w:val="none" w:sz="0" w:space="0" w:color="auto"/>
      </w:divBdr>
    </w:div>
    <w:div w:id="1895894731">
      <w:bodyDiv w:val="1"/>
      <w:marLeft w:val="0"/>
      <w:marRight w:val="0"/>
      <w:marTop w:val="0"/>
      <w:marBottom w:val="0"/>
      <w:divBdr>
        <w:top w:val="none" w:sz="0" w:space="0" w:color="auto"/>
        <w:left w:val="none" w:sz="0" w:space="0" w:color="auto"/>
        <w:bottom w:val="none" w:sz="0" w:space="0" w:color="auto"/>
        <w:right w:val="none" w:sz="0" w:space="0" w:color="auto"/>
      </w:divBdr>
    </w:div>
    <w:div w:id="1896816584">
      <w:bodyDiv w:val="1"/>
      <w:marLeft w:val="0"/>
      <w:marRight w:val="0"/>
      <w:marTop w:val="0"/>
      <w:marBottom w:val="0"/>
      <w:divBdr>
        <w:top w:val="none" w:sz="0" w:space="0" w:color="auto"/>
        <w:left w:val="none" w:sz="0" w:space="0" w:color="auto"/>
        <w:bottom w:val="none" w:sz="0" w:space="0" w:color="auto"/>
        <w:right w:val="none" w:sz="0" w:space="0" w:color="auto"/>
      </w:divBdr>
    </w:div>
    <w:div w:id="1897889615">
      <w:bodyDiv w:val="1"/>
      <w:marLeft w:val="0"/>
      <w:marRight w:val="0"/>
      <w:marTop w:val="0"/>
      <w:marBottom w:val="0"/>
      <w:divBdr>
        <w:top w:val="none" w:sz="0" w:space="0" w:color="auto"/>
        <w:left w:val="none" w:sz="0" w:space="0" w:color="auto"/>
        <w:bottom w:val="none" w:sz="0" w:space="0" w:color="auto"/>
        <w:right w:val="none" w:sz="0" w:space="0" w:color="auto"/>
      </w:divBdr>
    </w:div>
    <w:div w:id="1899509664">
      <w:bodyDiv w:val="1"/>
      <w:marLeft w:val="0"/>
      <w:marRight w:val="0"/>
      <w:marTop w:val="0"/>
      <w:marBottom w:val="0"/>
      <w:divBdr>
        <w:top w:val="none" w:sz="0" w:space="0" w:color="auto"/>
        <w:left w:val="none" w:sz="0" w:space="0" w:color="auto"/>
        <w:bottom w:val="none" w:sz="0" w:space="0" w:color="auto"/>
        <w:right w:val="none" w:sz="0" w:space="0" w:color="auto"/>
      </w:divBdr>
    </w:div>
    <w:div w:id="1911189311">
      <w:bodyDiv w:val="1"/>
      <w:marLeft w:val="0"/>
      <w:marRight w:val="0"/>
      <w:marTop w:val="0"/>
      <w:marBottom w:val="0"/>
      <w:divBdr>
        <w:top w:val="none" w:sz="0" w:space="0" w:color="auto"/>
        <w:left w:val="none" w:sz="0" w:space="0" w:color="auto"/>
        <w:bottom w:val="none" w:sz="0" w:space="0" w:color="auto"/>
        <w:right w:val="none" w:sz="0" w:space="0" w:color="auto"/>
      </w:divBdr>
    </w:div>
    <w:div w:id="1917007084">
      <w:bodyDiv w:val="1"/>
      <w:marLeft w:val="0"/>
      <w:marRight w:val="0"/>
      <w:marTop w:val="0"/>
      <w:marBottom w:val="0"/>
      <w:divBdr>
        <w:top w:val="none" w:sz="0" w:space="0" w:color="auto"/>
        <w:left w:val="none" w:sz="0" w:space="0" w:color="auto"/>
        <w:bottom w:val="none" w:sz="0" w:space="0" w:color="auto"/>
        <w:right w:val="none" w:sz="0" w:space="0" w:color="auto"/>
      </w:divBdr>
    </w:div>
    <w:div w:id="1922635829">
      <w:bodyDiv w:val="1"/>
      <w:marLeft w:val="0"/>
      <w:marRight w:val="0"/>
      <w:marTop w:val="0"/>
      <w:marBottom w:val="0"/>
      <w:divBdr>
        <w:top w:val="none" w:sz="0" w:space="0" w:color="auto"/>
        <w:left w:val="none" w:sz="0" w:space="0" w:color="auto"/>
        <w:bottom w:val="none" w:sz="0" w:space="0" w:color="auto"/>
        <w:right w:val="none" w:sz="0" w:space="0" w:color="auto"/>
      </w:divBdr>
    </w:div>
    <w:div w:id="1925333980">
      <w:bodyDiv w:val="1"/>
      <w:marLeft w:val="0"/>
      <w:marRight w:val="0"/>
      <w:marTop w:val="0"/>
      <w:marBottom w:val="0"/>
      <w:divBdr>
        <w:top w:val="none" w:sz="0" w:space="0" w:color="auto"/>
        <w:left w:val="none" w:sz="0" w:space="0" w:color="auto"/>
        <w:bottom w:val="none" w:sz="0" w:space="0" w:color="auto"/>
        <w:right w:val="none" w:sz="0" w:space="0" w:color="auto"/>
      </w:divBdr>
    </w:div>
    <w:div w:id="1928153170">
      <w:bodyDiv w:val="1"/>
      <w:marLeft w:val="0"/>
      <w:marRight w:val="0"/>
      <w:marTop w:val="0"/>
      <w:marBottom w:val="0"/>
      <w:divBdr>
        <w:top w:val="none" w:sz="0" w:space="0" w:color="auto"/>
        <w:left w:val="none" w:sz="0" w:space="0" w:color="auto"/>
        <w:bottom w:val="none" w:sz="0" w:space="0" w:color="auto"/>
        <w:right w:val="none" w:sz="0" w:space="0" w:color="auto"/>
      </w:divBdr>
    </w:div>
    <w:div w:id="1933513712">
      <w:bodyDiv w:val="1"/>
      <w:marLeft w:val="0"/>
      <w:marRight w:val="0"/>
      <w:marTop w:val="0"/>
      <w:marBottom w:val="0"/>
      <w:divBdr>
        <w:top w:val="none" w:sz="0" w:space="0" w:color="auto"/>
        <w:left w:val="none" w:sz="0" w:space="0" w:color="auto"/>
        <w:bottom w:val="none" w:sz="0" w:space="0" w:color="auto"/>
        <w:right w:val="none" w:sz="0" w:space="0" w:color="auto"/>
      </w:divBdr>
    </w:div>
    <w:div w:id="1939289127">
      <w:bodyDiv w:val="1"/>
      <w:marLeft w:val="0"/>
      <w:marRight w:val="0"/>
      <w:marTop w:val="0"/>
      <w:marBottom w:val="0"/>
      <w:divBdr>
        <w:top w:val="none" w:sz="0" w:space="0" w:color="auto"/>
        <w:left w:val="none" w:sz="0" w:space="0" w:color="auto"/>
        <w:bottom w:val="none" w:sz="0" w:space="0" w:color="auto"/>
        <w:right w:val="none" w:sz="0" w:space="0" w:color="auto"/>
      </w:divBdr>
    </w:div>
    <w:div w:id="1940482499">
      <w:bodyDiv w:val="1"/>
      <w:marLeft w:val="0"/>
      <w:marRight w:val="0"/>
      <w:marTop w:val="0"/>
      <w:marBottom w:val="0"/>
      <w:divBdr>
        <w:top w:val="none" w:sz="0" w:space="0" w:color="auto"/>
        <w:left w:val="none" w:sz="0" w:space="0" w:color="auto"/>
        <w:bottom w:val="none" w:sz="0" w:space="0" w:color="auto"/>
        <w:right w:val="none" w:sz="0" w:space="0" w:color="auto"/>
      </w:divBdr>
    </w:div>
    <w:div w:id="1955556427">
      <w:bodyDiv w:val="1"/>
      <w:marLeft w:val="0"/>
      <w:marRight w:val="0"/>
      <w:marTop w:val="0"/>
      <w:marBottom w:val="0"/>
      <w:divBdr>
        <w:top w:val="none" w:sz="0" w:space="0" w:color="auto"/>
        <w:left w:val="none" w:sz="0" w:space="0" w:color="auto"/>
        <w:bottom w:val="none" w:sz="0" w:space="0" w:color="auto"/>
        <w:right w:val="none" w:sz="0" w:space="0" w:color="auto"/>
      </w:divBdr>
    </w:div>
    <w:div w:id="1959600819">
      <w:bodyDiv w:val="1"/>
      <w:marLeft w:val="0"/>
      <w:marRight w:val="0"/>
      <w:marTop w:val="0"/>
      <w:marBottom w:val="0"/>
      <w:divBdr>
        <w:top w:val="none" w:sz="0" w:space="0" w:color="auto"/>
        <w:left w:val="none" w:sz="0" w:space="0" w:color="auto"/>
        <w:bottom w:val="none" w:sz="0" w:space="0" w:color="auto"/>
        <w:right w:val="none" w:sz="0" w:space="0" w:color="auto"/>
      </w:divBdr>
    </w:div>
    <w:div w:id="1967420066">
      <w:bodyDiv w:val="1"/>
      <w:marLeft w:val="0"/>
      <w:marRight w:val="0"/>
      <w:marTop w:val="0"/>
      <w:marBottom w:val="0"/>
      <w:divBdr>
        <w:top w:val="none" w:sz="0" w:space="0" w:color="auto"/>
        <w:left w:val="none" w:sz="0" w:space="0" w:color="auto"/>
        <w:bottom w:val="none" w:sz="0" w:space="0" w:color="auto"/>
        <w:right w:val="none" w:sz="0" w:space="0" w:color="auto"/>
      </w:divBdr>
    </w:div>
    <w:div w:id="1979332426">
      <w:bodyDiv w:val="1"/>
      <w:marLeft w:val="0"/>
      <w:marRight w:val="0"/>
      <w:marTop w:val="0"/>
      <w:marBottom w:val="0"/>
      <w:divBdr>
        <w:top w:val="none" w:sz="0" w:space="0" w:color="auto"/>
        <w:left w:val="none" w:sz="0" w:space="0" w:color="auto"/>
        <w:bottom w:val="none" w:sz="0" w:space="0" w:color="auto"/>
        <w:right w:val="none" w:sz="0" w:space="0" w:color="auto"/>
      </w:divBdr>
    </w:div>
    <w:div w:id="2009137796">
      <w:bodyDiv w:val="1"/>
      <w:marLeft w:val="0"/>
      <w:marRight w:val="0"/>
      <w:marTop w:val="0"/>
      <w:marBottom w:val="0"/>
      <w:divBdr>
        <w:top w:val="none" w:sz="0" w:space="0" w:color="auto"/>
        <w:left w:val="none" w:sz="0" w:space="0" w:color="auto"/>
        <w:bottom w:val="none" w:sz="0" w:space="0" w:color="auto"/>
        <w:right w:val="none" w:sz="0" w:space="0" w:color="auto"/>
      </w:divBdr>
    </w:div>
    <w:div w:id="2010979558">
      <w:bodyDiv w:val="1"/>
      <w:marLeft w:val="0"/>
      <w:marRight w:val="0"/>
      <w:marTop w:val="0"/>
      <w:marBottom w:val="0"/>
      <w:divBdr>
        <w:top w:val="none" w:sz="0" w:space="0" w:color="auto"/>
        <w:left w:val="none" w:sz="0" w:space="0" w:color="auto"/>
        <w:bottom w:val="none" w:sz="0" w:space="0" w:color="auto"/>
        <w:right w:val="none" w:sz="0" w:space="0" w:color="auto"/>
      </w:divBdr>
      <w:divsChild>
        <w:div w:id="565605269">
          <w:marLeft w:val="0"/>
          <w:marRight w:val="0"/>
          <w:marTop w:val="0"/>
          <w:marBottom w:val="0"/>
          <w:divBdr>
            <w:top w:val="single" w:sz="2" w:space="0" w:color="auto"/>
            <w:left w:val="single" w:sz="2" w:space="0" w:color="auto"/>
            <w:bottom w:val="single" w:sz="2" w:space="0" w:color="auto"/>
            <w:right w:val="single" w:sz="2" w:space="0" w:color="auto"/>
          </w:divBdr>
          <w:divsChild>
            <w:div w:id="1352217241">
              <w:marLeft w:val="0"/>
              <w:marRight w:val="0"/>
              <w:marTop w:val="0"/>
              <w:marBottom w:val="0"/>
              <w:divBdr>
                <w:top w:val="single" w:sz="2" w:space="0" w:color="auto"/>
                <w:left w:val="single" w:sz="2" w:space="0" w:color="auto"/>
                <w:bottom w:val="single" w:sz="2" w:space="0" w:color="auto"/>
                <w:right w:val="single" w:sz="2" w:space="0" w:color="auto"/>
              </w:divBdr>
            </w:div>
          </w:divsChild>
        </w:div>
        <w:div w:id="1216116267">
          <w:marLeft w:val="0"/>
          <w:marRight w:val="0"/>
          <w:marTop w:val="0"/>
          <w:marBottom w:val="0"/>
          <w:divBdr>
            <w:top w:val="single" w:sz="2" w:space="0" w:color="auto"/>
            <w:left w:val="single" w:sz="2" w:space="0" w:color="auto"/>
            <w:bottom w:val="single" w:sz="2" w:space="0" w:color="auto"/>
            <w:right w:val="single" w:sz="2" w:space="0" w:color="auto"/>
          </w:divBdr>
          <w:divsChild>
            <w:div w:id="89419949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2020620850">
      <w:bodyDiv w:val="1"/>
      <w:marLeft w:val="0"/>
      <w:marRight w:val="0"/>
      <w:marTop w:val="0"/>
      <w:marBottom w:val="0"/>
      <w:divBdr>
        <w:top w:val="none" w:sz="0" w:space="0" w:color="auto"/>
        <w:left w:val="none" w:sz="0" w:space="0" w:color="auto"/>
        <w:bottom w:val="none" w:sz="0" w:space="0" w:color="auto"/>
        <w:right w:val="none" w:sz="0" w:space="0" w:color="auto"/>
      </w:divBdr>
    </w:div>
    <w:div w:id="2024045047">
      <w:bodyDiv w:val="1"/>
      <w:marLeft w:val="0"/>
      <w:marRight w:val="0"/>
      <w:marTop w:val="0"/>
      <w:marBottom w:val="0"/>
      <w:divBdr>
        <w:top w:val="none" w:sz="0" w:space="0" w:color="auto"/>
        <w:left w:val="none" w:sz="0" w:space="0" w:color="auto"/>
        <w:bottom w:val="none" w:sz="0" w:space="0" w:color="auto"/>
        <w:right w:val="none" w:sz="0" w:space="0" w:color="auto"/>
      </w:divBdr>
    </w:div>
    <w:div w:id="2030182633">
      <w:bodyDiv w:val="1"/>
      <w:marLeft w:val="0"/>
      <w:marRight w:val="0"/>
      <w:marTop w:val="0"/>
      <w:marBottom w:val="0"/>
      <w:divBdr>
        <w:top w:val="none" w:sz="0" w:space="0" w:color="auto"/>
        <w:left w:val="none" w:sz="0" w:space="0" w:color="auto"/>
        <w:bottom w:val="none" w:sz="0" w:space="0" w:color="auto"/>
        <w:right w:val="none" w:sz="0" w:space="0" w:color="auto"/>
      </w:divBdr>
    </w:div>
    <w:div w:id="2032993121">
      <w:bodyDiv w:val="1"/>
      <w:marLeft w:val="0"/>
      <w:marRight w:val="0"/>
      <w:marTop w:val="0"/>
      <w:marBottom w:val="0"/>
      <w:divBdr>
        <w:top w:val="none" w:sz="0" w:space="0" w:color="auto"/>
        <w:left w:val="none" w:sz="0" w:space="0" w:color="auto"/>
        <w:bottom w:val="none" w:sz="0" w:space="0" w:color="auto"/>
        <w:right w:val="none" w:sz="0" w:space="0" w:color="auto"/>
      </w:divBdr>
    </w:div>
    <w:div w:id="2047217597">
      <w:bodyDiv w:val="1"/>
      <w:marLeft w:val="0"/>
      <w:marRight w:val="0"/>
      <w:marTop w:val="0"/>
      <w:marBottom w:val="0"/>
      <w:divBdr>
        <w:top w:val="none" w:sz="0" w:space="0" w:color="auto"/>
        <w:left w:val="none" w:sz="0" w:space="0" w:color="auto"/>
        <w:bottom w:val="none" w:sz="0" w:space="0" w:color="auto"/>
        <w:right w:val="none" w:sz="0" w:space="0" w:color="auto"/>
      </w:divBdr>
    </w:div>
    <w:div w:id="2058159592">
      <w:bodyDiv w:val="1"/>
      <w:marLeft w:val="0"/>
      <w:marRight w:val="0"/>
      <w:marTop w:val="0"/>
      <w:marBottom w:val="0"/>
      <w:divBdr>
        <w:top w:val="none" w:sz="0" w:space="0" w:color="auto"/>
        <w:left w:val="none" w:sz="0" w:space="0" w:color="auto"/>
        <w:bottom w:val="none" w:sz="0" w:space="0" w:color="auto"/>
        <w:right w:val="none" w:sz="0" w:space="0" w:color="auto"/>
      </w:divBdr>
    </w:div>
    <w:div w:id="2070373062">
      <w:bodyDiv w:val="1"/>
      <w:marLeft w:val="0"/>
      <w:marRight w:val="0"/>
      <w:marTop w:val="0"/>
      <w:marBottom w:val="0"/>
      <w:divBdr>
        <w:top w:val="none" w:sz="0" w:space="0" w:color="auto"/>
        <w:left w:val="none" w:sz="0" w:space="0" w:color="auto"/>
        <w:bottom w:val="none" w:sz="0" w:space="0" w:color="auto"/>
        <w:right w:val="none" w:sz="0" w:space="0" w:color="auto"/>
      </w:divBdr>
    </w:div>
    <w:div w:id="2081975802">
      <w:bodyDiv w:val="1"/>
      <w:marLeft w:val="0"/>
      <w:marRight w:val="0"/>
      <w:marTop w:val="0"/>
      <w:marBottom w:val="0"/>
      <w:divBdr>
        <w:top w:val="none" w:sz="0" w:space="0" w:color="auto"/>
        <w:left w:val="none" w:sz="0" w:space="0" w:color="auto"/>
        <w:bottom w:val="none" w:sz="0" w:space="0" w:color="auto"/>
        <w:right w:val="none" w:sz="0" w:space="0" w:color="auto"/>
      </w:divBdr>
    </w:div>
    <w:div w:id="2088528883">
      <w:bodyDiv w:val="1"/>
      <w:marLeft w:val="0"/>
      <w:marRight w:val="0"/>
      <w:marTop w:val="0"/>
      <w:marBottom w:val="0"/>
      <w:divBdr>
        <w:top w:val="none" w:sz="0" w:space="0" w:color="auto"/>
        <w:left w:val="none" w:sz="0" w:space="0" w:color="auto"/>
        <w:bottom w:val="none" w:sz="0" w:space="0" w:color="auto"/>
        <w:right w:val="none" w:sz="0" w:space="0" w:color="auto"/>
      </w:divBdr>
    </w:div>
    <w:div w:id="2089963714">
      <w:bodyDiv w:val="1"/>
      <w:marLeft w:val="0"/>
      <w:marRight w:val="0"/>
      <w:marTop w:val="0"/>
      <w:marBottom w:val="0"/>
      <w:divBdr>
        <w:top w:val="none" w:sz="0" w:space="0" w:color="auto"/>
        <w:left w:val="none" w:sz="0" w:space="0" w:color="auto"/>
        <w:bottom w:val="none" w:sz="0" w:space="0" w:color="auto"/>
        <w:right w:val="none" w:sz="0" w:space="0" w:color="auto"/>
      </w:divBdr>
    </w:div>
    <w:div w:id="2097170714">
      <w:bodyDiv w:val="1"/>
      <w:marLeft w:val="0"/>
      <w:marRight w:val="0"/>
      <w:marTop w:val="0"/>
      <w:marBottom w:val="0"/>
      <w:divBdr>
        <w:top w:val="none" w:sz="0" w:space="0" w:color="auto"/>
        <w:left w:val="none" w:sz="0" w:space="0" w:color="auto"/>
        <w:bottom w:val="none" w:sz="0" w:space="0" w:color="auto"/>
        <w:right w:val="none" w:sz="0" w:space="0" w:color="auto"/>
      </w:divBdr>
    </w:div>
    <w:div w:id="2104106444">
      <w:bodyDiv w:val="1"/>
      <w:marLeft w:val="0"/>
      <w:marRight w:val="0"/>
      <w:marTop w:val="0"/>
      <w:marBottom w:val="0"/>
      <w:divBdr>
        <w:top w:val="none" w:sz="0" w:space="0" w:color="auto"/>
        <w:left w:val="none" w:sz="0" w:space="0" w:color="auto"/>
        <w:bottom w:val="none" w:sz="0" w:space="0" w:color="auto"/>
        <w:right w:val="none" w:sz="0" w:space="0" w:color="auto"/>
      </w:divBdr>
    </w:div>
    <w:div w:id="2109428295">
      <w:bodyDiv w:val="1"/>
      <w:marLeft w:val="0"/>
      <w:marRight w:val="0"/>
      <w:marTop w:val="0"/>
      <w:marBottom w:val="0"/>
      <w:divBdr>
        <w:top w:val="none" w:sz="0" w:space="0" w:color="auto"/>
        <w:left w:val="none" w:sz="0" w:space="0" w:color="auto"/>
        <w:bottom w:val="none" w:sz="0" w:space="0" w:color="auto"/>
        <w:right w:val="none" w:sz="0" w:space="0" w:color="auto"/>
      </w:divBdr>
    </w:div>
    <w:div w:id="2110655537">
      <w:bodyDiv w:val="1"/>
      <w:marLeft w:val="0"/>
      <w:marRight w:val="0"/>
      <w:marTop w:val="0"/>
      <w:marBottom w:val="0"/>
      <w:divBdr>
        <w:top w:val="none" w:sz="0" w:space="0" w:color="auto"/>
        <w:left w:val="none" w:sz="0" w:space="0" w:color="auto"/>
        <w:bottom w:val="none" w:sz="0" w:space="0" w:color="auto"/>
        <w:right w:val="none" w:sz="0" w:space="0" w:color="auto"/>
      </w:divBdr>
    </w:div>
    <w:div w:id="2110852131">
      <w:bodyDiv w:val="1"/>
      <w:marLeft w:val="0"/>
      <w:marRight w:val="0"/>
      <w:marTop w:val="0"/>
      <w:marBottom w:val="0"/>
      <w:divBdr>
        <w:top w:val="none" w:sz="0" w:space="0" w:color="auto"/>
        <w:left w:val="none" w:sz="0" w:space="0" w:color="auto"/>
        <w:bottom w:val="none" w:sz="0" w:space="0" w:color="auto"/>
        <w:right w:val="none" w:sz="0" w:space="0" w:color="auto"/>
      </w:divBdr>
    </w:div>
    <w:div w:id="2111388229">
      <w:bodyDiv w:val="1"/>
      <w:marLeft w:val="0"/>
      <w:marRight w:val="0"/>
      <w:marTop w:val="0"/>
      <w:marBottom w:val="0"/>
      <w:divBdr>
        <w:top w:val="none" w:sz="0" w:space="0" w:color="auto"/>
        <w:left w:val="none" w:sz="0" w:space="0" w:color="auto"/>
        <w:bottom w:val="none" w:sz="0" w:space="0" w:color="auto"/>
        <w:right w:val="none" w:sz="0" w:space="0" w:color="auto"/>
      </w:divBdr>
    </w:div>
    <w:div w:id="2116438959">
      <w:bodyDiv w:val="1"/>
      <w:marLeft w:val="0"/>
      <w:marRight w:val="0"/>
      <w:marTop w:val="0"/>
      <w:marBottom w:val="0"/>
      <w:divBdr>
        <w:top w:val="none" w:sz="0" w:space="0" w:color="auto"/>
        <w:left w:val="none" w:sz="0" w:space="0" w:color="auto"/>
        <w:bottom w:val="none" w:sz="0" w:space="0" w:color="auto"/>
        <w:right w:val="none" w:sz="0" w:space="0" w:color="auto"/>
      </w:divBdr>
      <w:divsChild>
        <w:div w:id="2142993585">
          <w:marLeft w:val="0"/>
          <w:marRight w:val="0"/>
          <w:marTop w:val="0"/>
          <w:marBottom w:val="0"/>
          <w:divBdr>
            <w:top w:val="single" w:sz="2" w:space="0" w:color="auto"/>
            <w:left w:val="single" w:sz="2" w:space="0" w:color="auto"/>
            <w:bottom w:val="single" w:sz="2" w:space="0" w:color="auto"/>
            <w:right w:val="single" w:sz="2" w:space="0" w:color="auto"/>
          </w:divBdr>
          <w:divsChild>
            <w:div w:id="208040035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2132746188">
      <w:bodyDiv w:val="1"/>
      <w:marLeft w:val="0"/>
      <w:marRight w:val="0"/>
      <w:marTop w:val="0"/>
      <w:marBottom w:val="0"/>
      <w:divBdr>
        <w:top w:val="none" w:sz="0" w:space="0" w:color="auto"/>
        <w:left w:val="none" w:sz="0" w:space="0" w:color="auto"/>
        <w:bottom w:val="none" w:sz="0" w:space="0" w:color="auto"/>
        <w:right w:val="none" w:sz="0" w:space="0" w:color="auto"/>
      </w:divBdr>
      <w:divsChild>
        <w:div w:id="741298051">
          <w:marLeft w:val="0"/>
          <w:marRight w:val="0"/>
          <w:marTop w:val="0"/>
          <w:marBottom w:val="0"/>
          <w:divBdr>
            <w:top w:val="single" w:sz="2" w:space="0" w:color="auto"/>
            <w:left w:val="single" w:sz="2" w:space="0" w:color="auto"/>
            <w:bottom w:val="single" w:sz="2" w:space="0" w:color="auto"/>
            <w:right w:val="single" w:sz="2" w:space="0" w:color="auto"/>
          </w:divBdr>
          <w:divsChild>
            <w:div w:id="1935504940">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2140486176">
      <w:bodyDiv w:val="1"/>
      <w:marLeft w:val="0"/>
      <w:marRight w:val="0"/>
      <w:marTop w:val="0"/>
      <w:marBottom w:val="0"/>
      <w:divBdr>
        <w:top w:val="none" w:sz="0" w:space="0" w:color="auto"/>
        <w:left w:val="none" w:sz="0" w:space="0" w:color="auto"/>
        <w:bottom w:val="none" w:sz="0" w:space="0" w:color="auto"/>
        <w:right w:val="none" w:sz="0" w:space="0" w:color="auto"/>
      </w:divBdr>
    </w:div>
    <w:div w:id="2142186025">
      <w:bodyDiv w:val="1"/>
      <w:marLeft w:val="0"/>
      <w:marRight w:val="0"/>
      <w:marTop w:val="0"/>
      <w:marBottom w:val="0"/>
      <w:divBdr>
        <w:top w:val="none" w:sz="0" w:space="0" w:color="auto"/>
        <w:left w:val="none" w:sz="0" w:space="0" w:color="auto"/>
        <w:bottom w:val="none" w:sz="0" w:space="0" w:color="auto"/>
        <w:right w:val="none" w:sz="0" w:space="0" w:color="auto"/>
      </w:divBdr>
      <w:divsChild>
        <w:div w:id="1485270394">
          <w:marLeft w:val="0"/>
          <w:marRight w:val="0"/>
          <w:marTop w:val="0"/>
          <w:marBottom w:val="0"/>
          <w:divBdr>
            <w:top w:val="single" w:sz="2" w:space="0" w:color="auto"/>
            <w:left w:val="single" w:sz="2" w:space="0" w:color="auto"/>
            <w:bottom w:val="single" w:sz="2" w:space="0" w:color="auto"/>
            <w:right w:val="single" w:sz="2" w:space="0" w:color="auto"/>
          </w:divBdr>
          <w:divsChild>
            <w:div w:id="1591355994">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orcid.org/0000-0001-8035-3858" TargetMode="External"/><Relationship Id="rId18" Type="http://schemas.openxmlformats.org/officeDocument/2006/relationships/image" Target="media/image1.png"/><Relationship Id="rId26" Type="http://schemas.openxmlformats.org/officeDocument/2006/relationships/hyperlink" Target="https://doi.org/10.62051/ijsspa.v2n3.64" TargetMode="External"/><Relationship Id="rId39" Type="http://schemas.openxmlformats.org/officeDocument/2006/relationships/hyperlink" Target="https://doi.org/10.69733/clad.ryd.n76.a198" TargetMode="External"/><Relationship Id="rId21" Type="http://schemas.openxmlformats.org/officeDocument/2006/relationships/hyperlink" Target="https://doi.org/10.1080/14719037.2021.1919186" TargetMode="External"/><Relationship Id="rId34" Type="http://schemas.openxmlformats.org/officeDocument/2006/relationships/hyperlink" Target="https://doi.org/10.1080/14719037.2023.2234917" TargetMode="External"/><Relationship Id="rId42" Type="http://schemas.openxmlformats.org/officeDocument/2006/relationships/hyperlink" Target="https://doi.org/10.3389/frsc.2019.00003" TargetMode="External"/><Relationship Id="rId47" Type="http://schemas.openxmlformats.org/officeDocument/2006/relationships/hyperlink" Target="https://doi.org/10.3126/jsdpj.v2i2.69570" TargetMode="External"/><Relationship Id="rId50" Type="http://schemas.openxmlformats.org/officeDocument/2006/relationships/hyperlink" Target="https://doi.org/10.1177/0894439315609919" TargetMode="External"/><Relationship Id="rId55" Type="http://schemas.openxmlformats.org/officeDocument/2006/relationships/hyperlink" Target="https://doi.org/10.1016/j.giq.2022.101708"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d.jpalominov@ms.upla.edu.pe" TargetMode="External"/><Relationship Id="rId29" Type="http://schemas.openxmlformats.org/officeDocument/2006/relationships/hyperlink" Target="https://doi.org/10.4018/979-8-3693-9251-5.ch008" TargetMode="External"/><Relationship Id="rId11" Type="http://schemas.openxmlformats.org/officeDocument/2006/relationships/hyperlink" Target="mailto:armando.tarco@unsaac.edu.pe" TargetMode="External"/><Relationship Id="rId24" Type="http://schemas.openxmlformats.org/officeDocument/2006/relationships/hyperlink" Target="https://doi.org/10.5281/zenodo.8266344" TargetMode="External"/><Relationship Id="rId32" Type="http://schemas.openxmlformats.org/officeDocument/2006/relationships/hyperlink" Target="https://doi.org/10.1108/AAAJ-11-2020-5001" TargetMode="External"/><Relationship Id="rId37" Type="http://schemas.openxmlformats.org/officeDocument/2006/relationships/hyperlink" Target="https://doi.org/10.5465/amj.2016.0543" TargetMode="External"/><Relationship Id="rId40" Type="http://schemas.openxmlformats.org/officeDocument/2006/relationships/hyperlink" Target="https://doi.org/10.1332/030557314X14042230109592" TargetMode="External"/><Relationship Id="rId45" Type="http://schemas.openxmlformats.org/officeDocument/2006/relationships/hyperlink" Target="https://doi.org/10.3390/su13115914" TargetMode="External"/><Relationship Id="rId53" Type="http://schemas.openxmlformats.org/officeDocument/2006/relationships/hyperlink" Target="https://doi.org/10.3390/admsci13120248" TargetMode="External"/><Relationship Id="rId58"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2.png"/><Relationship Id="rId14" Type="http://schemas.openxmlformats.org/officeDocument/2006/relationships/hyperlink" Target="mailto:czavalaga@unheval.edu.pe" TargetMode="External"/><Relationship Id="rId22" Type="http://schemas.openxmlformats.org/officeDocument/2006/relationships/hyperlink" Target="https://doi.org/10.1108/INTR-01-2022-0042" TargetMode="External"/><Relationship Id="rId27" Type="http://schemas.openxmlformats.org/officeDocument/2006/relationships/hyperlink" Target="https://doi.org/10.1016/j.jup.2021.101255" TargetMode="External"/><Relationship Id="rId30" Type="http://schemas.openxmlformats.org/officeDocument/2006/relationships/hyperlink" Target="https://doi.org/10.1177/21582440231158521" TargetMode="External"/><Relationship Id="rId35" Type="http://schemas.openxmlformats.org/officeDocument/2006/relationships/hyperlink" Target="https://doi.org/10.1007/s11115-015-0327-x" TargetMode="External"/><Relationship Id="rId43" Type="http://schemas.openxmlformats.org/officeDocument/2006/relationships/hyperlink" Target="https://doi.org/10.14349/sumneg/2024.V15.N32.A7" TargetMode="External"/><Relationship Id="rId48" Type="http://schemas.openxmlformats.org/officeDocument/2006/relationships/hyperlink" Target="https://doi.org/10.18196/agimjournal.v2i1.16" TargetMode="External"/><Relationship Id="rId56" Type="http://schemas.openxmlformats.org/officeDocument/2006/relationships/hyperlink" Target="https://doi.org/10.1016/j.giq.2021.101577" TargetMode="External"/><Relationship Id="rId8" Type="http://schemas.openxmlformats.org/officeDocument/2006/relationships/hyperlink" Target="https://orcid.org/0009-0005-5604-3880" TargetMode="External"/><Relationship Id="rId51" Type="http://schemas.openxmlformats.org/officeDocument/2006/relationships/hyperlink" Target="https://doi.org/10.12688/openreseurope.16153.4" TargetMode="External"/><Relationship Id="rId3" Type="http://schemas.openxmlformats.org/officeDocument/2006/relationships/styles" Target="styles.xml"/><Relationship Id="rId12" Type="http://schemas.openxmlformats.org/officeDocument/2006/relationships/hyperlink" Target="mailto:merida.alatrista@unsaac.edu.pe" TargetMode="External"/><Relationship Id="rId17" Type="http://schemas.openxmlformats.org/officeDocument/2006/relationships/chart" Target="charts/chart1.xml"/><Relationship Id="rId25" Type="http://schemas.openxmlformats.org/officeDocument/2006/relationships/hyperlink" Target="https://doi.org/10.1080/14719037.2022.2065517" TargetMode="External"/><Relationship Id="rId33" Type="http://schemas.openxmlformats.org/officeDocument/2006/relationships/hyperlink" Target="https://doi.org/10.1146/annurev-polisci-051120-112501" TargetMode="External"/><Relationship Id="rId38" Type="http://schemas.openxmlformats.org/officeDocument/2006/relationships/hyperlink" Target="https://doi.org/10.62225/2583049X.2024.4.6.4101" TargetMode="External"/><Relationship Id="rId46" Type="http://schemas.openxmlformats.org/officeDocument/2006/relationships/hyperlink" Target="https://doi.org/10.1108/S2754-586520230000002007" TargetMode="External"/><Relationship Id="rId59" Type="http://schemas.openxmlformats.org/officeDocument/2006/relationships/footer" Target="footer2.xml"/><Relationship Id="rId20" Type="http://schemas.openxmlformats.org/officeDocument/2006/relationships/hyperlink" Target="https://doi.org/10.51325/ijbeg.v3i3.47" TargetMode="External"/><Relationship Id="rId41" Type="http://schemas.openxmlformats.org/officeDocument/2006/relationships/hyperlink" Target="https://doi.org/10.1111/padm.12672" TargetMode="External"/><Relationship Id="rId54" Type="http://schemas.openxmlformats.org/officeDocument/2006/relationships/hyperlink" Target="https://doi.org/10.1080/03080188.2020.1840220"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orcid.org/0000-0003-2914-7842" TargetMode="External"/><Relationship Id="rId23" Type="http://schemas.openxmlformats.org/officeDocument/2006/relationships/hyperlink" Target="https://doi.org/10.22431/25005227.vol54n1.903" TargetMode="External"/><Relationship Id="rId28" Type="http://schemas.openxmlformats.org/officeDocument/2006/relationships/hyperlink" Target="http://dx.doi.org/10.1590/1679-395167893" TargetMode="External"/><Relationship Id="rId36" Type="http://schemas.openxmlformats.org/officeDocument/2006/relationships/hyperlink" Target="https://doi.org/10.1007/s43508-022-00055-w" TargetMode="External"/><Relationship Id="rId49" Type="http://schemas.openxmlformats.org/officeDocument/2006/relationships/hyperlink" Target="https://doi.org/10.61100/adman.v1i2.21" TargetMode="External"/><Relationship Id="rId57" Type="http://schemas.openxmlformats.org/officeDocument/2006/relationships/footer" Target="footer1.xml"/><Relationship Id="rId10" Type="http://schemas.openxmlformats.org/officeDocument/2006/relationships/hyperlink" Target="https://orcid.org/0000-0003-0599-721X" TargetMode="External"/><Relationship Id="rId31" Type="http://schemas.openxmlformats.org/officeDocument/2006/relationships/hyperlink" Target="https://doi.org/10.1016/j.erss.2020.101737" TargetMode="External"/><Relationship Id="rId44" Type="http://schemas.openxmlformats.org/officeDocument/2006/relationships/hyperlink" Target="https://doi.org/10.31637/epsir-2024-1072" TargetMode="External"/><Relationship Id="rId52" Type="http://schemas.openxmlformats.org/officeDocument/2006/relationships/hyperlink" Target="https://doi.org/10.1111/puar.13877" TargetMode="Externa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gdominguez@unheval.edu.pe"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ll\Downloads\PLANTILLA%20R.INVECOM%20VOL%206%20NUM%201.dotm"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Hoja_de_c_lculo_de_Microsoft_Excel.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col"/>
        <c:grouping val="clustered"/>
        <c:varyColors val="0"/>
        <c:ser>
          <c:idx val="0"/>
          <c:order val="0"/>
          <c:tx>
            <c:strRef>
              <c:f>Hoja1!$B$1</c:f>
              <c:strCache>
                <c:ptCount val="1"/>
                <c:pt idx="0">
                  <c:v>Serie 1</c:v>
                </c:pt>
              </c:strCache>
            </c:strRef>
          </c:tx>
          <c:spPr>
            <a:solidFill>
              <a:srgbClr val="00666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Hoja1!$A$2:$A$12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Hoja1!$B$2:$B$12</c:f>
              <c:numCache>
                <c:formatCode>General</c:formatCode>
                <c:ptCount val="11"/>
                <c:pt idx="0">
                  <c:v>1</c:v>
                </c:pt>
                <c:pt idx="1">
                  <c:v>1</c:v>
                </c:pt>
                <c:pt idx="2">
                  <c:v>2</c:v>
                </c:pt>
                <c:pt idx="3">
                  <c:v>0</c:v>
                </c:pt>
                <c:pt idx="4">
                  <c:v>2</c:v>
                </c:pt>
                <c:pt idx="5">
                  <c:v>5</c:v>
                </c:pt>
                <c:pt idx="6">
                  <c:v>1</c:v>
                </c:pt>
                <c:pt idx="7">
                  <c:v>1</c:v>
                </c:pt>
                <c:pt idx="8">
                  <c:v>0</c:v>
                </c:pt>
                <c:pt idx="9">
                  <c:v>5</c:v>
                </c:pt>
                <c:pt idx="10">
                  <c:v>1</c:v>
                </c:pt>
              </c:numCache>
            </c:numRef>
          </c:val>
          <c:extLst>
            <c:ext xmlns:c16="http://schemas.microsoft.com/office/drawing/2014/chart" uri="{C3380CC4-5D6E-409C-BE32-E72D297353CC}">
              <c16:uniqueId val="{00000000-3649-444B-A7DF-96647DADDF00}"/>
            </c:ext>
          </c:extLst>
        </c:ser>
        <c:dLbls>
          <c:dLblPos val="outEnd"/>
          <c:showLegendKey val="0"/>
          <c:showVal val="1"/>
          <c:showCatName val="0"/>
          <c:showSerName val="0"/>
          <c:showPercent val="0"/>
          <c:showBubbleSize val="0"/>
        </c:dLbls>
        <c:gapWidth val="80"/>
        <c:overlap val="25"/>
        <c:axId val="172989464"/>
        <c:axId val="172988288"/>
      </c:barChart>
      <c:catAx>
        <c:axId val="172989464"/>
        <c:scaling>
          <c:orientation val="minMax"/>
        </c:scaling>
        <c:delete val="0"/>
        <c:axPos val="b"/>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cap="none" spc="20" normalizeH="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172988288"/>
        <c:crosses val="autoZero"/>
        <c:auto val="1"/>
        <c:lblAlgn val="ctr"/>
        <c:lblOffset val="100"/>
        <c:noMultiLvlLbl val="0"/>
      </c:catAx>
      <c:valAx>
        <c:axId val="172988288"/>
        <c:scaling>
          <c:orientation val="minMax"/>
        </c:scaling>
        <c:delete val="0"/>
        <c:axPos val="l"/>
        <c:majorGridlines>
          <c:spPr>
            <a:ln w="9525" cap="flat" cmpd="sng" algn="ctr">
              <a:solidFill>
                <a:schemeClr val="tx1">
                  <a:lumMod val="5000"/>
                  <a:lumOff val="9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17298946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withinLinear" id="16">
  <a:schemeClr val="accent3"/>
</cs:colorStyle>
</file>

<file path=word/charts/style1.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Qui242</b:Tag>
    <b:SourceType>JournalArticle</b:SourceType>
    <b:Guid>{1200BB37-3877-43FD-98A8-189FDEF9A099}</b:Guid>
    <b:Author>
      <b:Author>
        <b:NameList>
          <b:Person>
            <b:Last>Quintero</b:Last>
            <b:First>Juan</b:First>
          </b:Person>
        </b:NameList>
      </b:Author>
    </b:Author>
    <b:Title>Innovación académica para el fortalecimiento de los programas de Contaduría Pública en Colombia</b:Title>
    <b:JournalName>Región Científica</b:JournalName>
    <b:Year>2024</b:Year>
    <b:Volume>3</b:Volume>
    <b:Issue>1</b:Issue>
    <b:URL>https://dialnet.unirioja.es/servlet/articulo?codigo=9839668</b:URL>
    <b:RefOrder>16</b:RefOrder>
  </b:Source>
  <b:Source>
    <b:Tag>Leó24</b:Tag>
    <b:SourceType>JournalArticle</b:SourceType>
    <b:Guid>{D7300376-2B45-4939-8B27-46EA8D24D187}</b:Guid>
    <b:Author>
      <b:Author>
        <b:NameList>
          <b:Person>
            <b:Last>León</b:Last>
            <b:First>María</b:First>
          </b:Person>
          <b:Person>
            <b:Last>Vasconez</b:Last>
            <b:First>Lenin</b:First>
          </b:Person>
        </b:NameList>
      </b:Author>
    </b:Author>
    <b:Title>Innovación educativa en contabilidad gubernamental: la rendición de cuentas y la participación ciudadana.</b:Title>
    <b:JournalName>Conrado</b:JournalName>
    <b:Year>2024</b:Year>
    <b:Pages>197-207</b:Pages>
    <b:Volume>20</b:Volume>
    <b:Issue>98</b:Issue>
    <b:URL>http://scielo.sld.cu/scielo.php?pid=S1990-86442024000300197&amp;script=sci_abstract</b:URL>
    <b:RefOrder>17</b:RefOrder>
  </b:Source>
  <b:Source>
    <b:Tag>Ale23</b:Tag>
    <b:SourceType>JournalArticle</b:SourceType>
    <b:Guid>{A59964E6-3E3A-4AE3-9636-D15D9DEE13C2}</b:Guid>
    <b:Author>
      <b:Author>
        <b:NameList>
          <b:Person>
            <b:Last>Alegre</b:Last>
            <b:First>Miguel</b:First>
          </b:Person>
        </b:NameList>
      </b:Author>
    </b:Author>
    <b:Title>Evaluación del impacto de la enseñanza virtual en la formación de profesionales en Ciencias Contables: Un enfoque hacia la innovación educativa</b:Title>
    <b:JournalName>REVISTA PARAGUAYA DE EDUCACIÓN A DISTANCIA (REPED)</b:JournalName>
    <b:Year>2023</b:Year>
    <b:Pages>64-75</b:Pages>
    <b:Volume>4</b:Volume>
    <b:Issue>2</b:Issue>
    <b:URL>https://revistascientificas.una.py/index.php/REPED/article/view/3656</b:URL>
    <b:RefOrder>18</b:RefOrder>
  </b:Source>
  <b:Source>
    <b:Tag>Mor242</b:Tag>
    <b:SourceType>JournalArticle</b:SourceType>
    <b:Guid>{AAB67F71-4BCF-4736-B903-3F0C865860FE}</b:Guid>
    <b:Author>
      <b:Author>
        <b:NameList>
          <b:Person>
            <b:Last>Moran</b:Last>
            <b:First>Dixie</b:First>
          </b:Person>
          <b:Person>
            <b:Last>Campoverde</b:Last>
            <b:First>Amarilis</b:First>
          </b:Person>
        </b:NameList>
      </b:Author>
    </b:Author>
    <b:Title>La innovación educativa en la formación técnica profesional de auxiliares contables</b:Title>
    <b:JournalName>Explorador Digital</b:JournalName>
    <b:Year>2024</b:Year>
    <b:Pages>46 - 62</b:Pages>
    <b:Volume>8</b:Volume>
    <b:Issue>4</b:Issue>
    <b:URL>https://www.cienciadigital.org/revistacienciadigital2/index.php/exploradordigital/article/view/3158/8994</b:URL>
    <b:RefOrder>19</b:RefOrder>
  </b:Source>
  <b:Source>
    <b:Tag>Mor231</b:Tag>
    <b:SourceType>JournalArticle</b:SourceType>
    <b:Guid>{D94138F7-0449-4FAB-9EC7-AACFB03B9F9D}</b:Guid>
    <b:Author>
      <b:Author>
        <b:NameList>
          <b:Person>
            <b:Last>Morillo</b:Last>
            <b:First>Javier</b:First>
          </b:Person>
          <b:Person>
            <b:Last>Córdoba</b:Last>
            <b:First>Mayra</b:First>
          </b:Person>
          <b:Person>
            <b:Last>Merino</b:Last>
            <b:First>Víctor</b:First>
          </b:Person>
        </b:NameList>
      </b:Author>
    </b:Author>
    <b:Title>Cambios ocasionados en la educación superior durante la pandemia en la carrera de Contabilidad y Auditoría de la Universidad Central del Ecuador.</b:Title>
    <b:JournalName>Estudios de la Gestión</b:JournalName>
    <b:Year>2023</b:Year>
    <b:Pages>35-53</b:Pages>
    <b:Volume>13</b:Volume>
    <b:URL>https://doi.org/10.32719/25506641.2023.13.2</b:URL>
    <b:RefOrder>21</b:RefOrder>
  </b:Source>
  <b:Source>
    <b:Tag>Mon24</b:Tag>
    <b:SourceType>JournalArticle</b:SourceType>
    <b:Guid>{168180CF-2C76-4A18-92EC-7521695DC021}</b:Guid>
    <b:Author>
      <b:Author>
        <b:NameList>
          <b:Person>
            <b:Last>Monserrat</b:Last>
            <b:First>Alva</b:First>
          </b:Person>
          <b:Person>
            <b:Last>Manosalvas</b:Last>
            <b:First>Mafla</b:First>
          </b:Person>
          <b:Person>
            <b:Last>Chisag</b:Last>
            <b:First>María</b:First>
          </b:Person>
          <b:Person>
            <b:Last>Baque</b:Last>
            <b:First>Miguel</b:First>
          </b:Person>
          <b:Person>
            <b:Last>Arteaga</b:Last>
            <b:First>Isaac</b:First>
          </b:Person>
        </b:NameList>
      </b:Author>
    </b:Author>
    <b:Title>La inteligencia artificial como herramienta de enseñanza-aprendizaje en la contabilidad</b:Title>
    <b:JournalName>Polo del Conocimiento</b:JournalName>
    <b:Year>2024</b:Year>
    <b:Pages>1149-1170</b:Pages>
    <b:Volume>9</b:Volume>
    <b:Issue>1</b:Issue>
    <b:URL> https://doi.org/10.23857/pc.v9i1.6463</b:URL>
    <b:RefOrder>22</b:RefOrder>
  </b:Source>
  <b:Source>
    <b:Tag>Cor24</b:Tag>
    <b:SourceType>JournalArticle</b:SourceType>
    <b:Guid>{37D9C526-8D9C-4EA2-8C60-B89926E8588D}</b:Guid>
    <b:Author>
      <b:Author>
        <b:NameList>
          <b:Person>
            <b:Last>Cortéz</b:Last>
            <b:First>Leyber</b:First>
          </b:Person>
          <b:Person>
            <b:Last>Sarmiento</b:Last>
            <b:First>Liia</b:First>
          </b:Person>
          <b:Person>
            <b:Last>Guzmán</b:Last>
            <b:First>amón</b:First>
          </b:Person>
        </b:NameList>
      </b:Author>
    </b:Author>
    <b:Title>La neuropedagogía y sus herramientas educativas para mejorar la enseñanza en la educación técnica profesional en el área de contabilidad</b:Title>
    <b:JournalName>RECIMUNDO</b:JournalName>
    <b:Year>2024</b:Year>
    <b:Pages>385-399</b:Pages>
    <b:Volume>8</b:Volume>
    <b:Issue>1</b:Issue>
    <b:URL>https://doi.org/10.26820/recimundo/8.(1).ene.2024.385-399</b:URL>
    <b:RefOrder>23</b:RefOrder>
  </b:Source>
  <b:Source>
    <b:Tag>Kwa241</b:Tag>
    <b:SourceType>JournalArticle</b:SourceType>
    <b:Guid>{001DE59A-A53B-45A2-8F9A-1B3DEEA3ED50}</b:Guid>
    <b:Author>
      <b:Author>
        <b:NameList>
          <b:Person>
            <b:Last>Kwan</b:Last>
            <b:First>Chap</b:First>
          </b:Person>
          <b:Person>
            <b:Last>Alegre</b:Last>
            <b:First>Miguel</b:First>
          </b:Person>
        </b:NameList>
      </b:Author>
    </b:Author>
    <b:Title>Pedagogía y Didáctica de las ciencias contables. Una revisión de conceptualizaciones</b:Title>
    <b:JournalName>Revista Internacional de Investigación en Ciencias Sociales</b:JournalName>
    <b:Year>2024</b:Year>
    <b:Pages>25-36</b:Pages>
    <b:Volume>20</b:Volume>
    <b:Issue>1</b:Issue>
    <b:URL>https://doi.org/10.18004/riics.2024.junio.25</b:URL>
    <b:RefOrder>24</b:RefOrder>
  </b:Source>
  <b:Source>
    <b:Tag>Bus243</b:Tag>
    <b:SourceType>JournalArticle</b:SourceType>
    <b:Guid>{3DB7F62C-1730-4F2C-8C7B-98F373CE79BC}</b:Guid>
    <b:Author>
      <b:Author>
        <b:NameList>
          <b:Person>
            <b:Last>Bustamante</b:Last>
            <b:First>Clara</b:First>
          </b:Person>
          <b:Person>
            <b:Last>Moro</b:Last>
            <b:First>Shirley</b:First>
          </b:Person>
        </b:NameList>
      </b:Author>
    </b:Author>
    <b:Title>Herramientas Pedagógicas y Retos de la Enseñanza de la Contabilidad en la Facultad de Ciencias Contables, Administrativas y Económicas, Ciudad de Ayolas – Año 2024</b:Title>
    <b:JournalName>Revista Multidisciplinar</b:JournalName>
    <b:Year>2024</b:Year>
    <b:Pages>9634-9658</b:Pages>
    <b:Volume>8</b:Volume>
    <b:Issue>6</b:Issue>
    <b:URL>https://dialnet.unirioja.es/servlet/articulo?codigo=10070423</b:URL>
    <b:RefOrder>25</b:RefOrder>
  </b:Source>
  <b:Source>
    <b:Tag>Riv22</b:Tag>
    <b:SourceType>JournalArticle</b:SourceType>
    <b:Guid>{6C27F7D6-DEE2-43C3-BADE-F3F83AAA2CE3}</b:Guid>
    <b:Author>
      <b:Author>
        <b:NameList>
          <b:Person>
            <b:Last>Rivas</b:Last>
            <b:First>Diana</b:First>
          </b:Person>
          <b:Person>
            <b:Last>Loor</b:Last>
            <b:First>Liliana</b:First>
          </b:Person>
        </b:NameList>
      </b:Author>
    </b:Author>
    <b:Title>El aula invertida como innovación educativa en la enseñanza de Contabilidad General en el Bachillerato Técnico</b:Title>
    <b:JournalName>Polo del Conocimiento: Revista científico - profesional</b:JournalName>
    <b:Year>2022</b:Year>
    <b:Pages>2032-2048</b:Pages>
    <b:Volume>7</b:Volume>
    <b:Issue>11</b:Issue>
    <b:URL>https://dialnet.unirioja.es/servlet/articulo?codigo=9263522</b:URL>
    <b:RefOrder>26</b:RefOrder>
  </b:Source>
  <b:Source>
    <b:Tag>Mor227</b:Tag>
    <b:SourceType>JournalArticle</b:SourceType>
    <b:Guid>{F7164E65-4CCF-4B21-A8BC-51755027BCC5}</b:Guid>
    <b:Title>Validación del instrumento para evaluar los factores de riesgos de morbi-mortalidad materna</b:Title>
    <b:Year>2022</b:Year>
    <b:JournalName>Más Vita</b:JournalName>
    <b:Pages>182–194</b:Pages>
    <b:Volume>4</b:Volume>
    <b:Issue>3</b:Issue>
    <b:DOI>10.47606/ACVEN/MV0140%20</b:DOI>
    <b:LCID>en-US</b:LCID>
    <b:Author>
      <b:Author>
        <b:NameList>
          <b:Person>
            <b:Last>Mora</b:Last>
            <b:First>Andrea</b:First>
          </b:Person>
        </b:NameList>
      </b:Author>
    </b:Author>
    <b:RefOrder>5</b:RefOrder>
  </b:Source>
  <b:Source>
    <b:Tag>Pau22</b:Tag>
    <b:SourceType>JournalArticle</b:SourceType>
    <b:Guid>{393EF7A1-D948-4FC6-829A-C225F5D0D96F}</b:Guid>
    <b:LCID>en-US</b:LCID>
    <b:Author>
      <b:Author>
        <b:NameList>
          <b:Person>
            <b:Last>Paucar</b:Last>
            <b:First>Jesic</b:First>
          </b:Person>
          <b:Person>
            <b:Last>Saeteros</b:Last>
            <b:First>Rosa</b:First>
          </b:Person>
          <b:Person>
            <b:Last>Ortiz</b:Last>
            <b:First>Eida</b:First>
          </b:Person>
          <b:Person>
            <b:Last>Criollo</b:Last>
            <b:First>Anabela</b:First>
          </b:Person>
        </b:NameList>
      </b:Author>
    </b:Author>
    <b:Title>Factores de riesgo obstétricos asociados a la mortalidad materna en pacientes del Centro de Salud Cebadas Chimborazo, periodo agosto 2021-enero 2022.</b:Title>
    <b:JournalName>Revista Científica Digital CSSN</b:JournalName>
    <b:Year>2022</b:Year>
    <b:Pages>6-12</b:Pages>
    <b:Volume>13</b:Volume>
    <b:Issue>2</b:Issue>
    <b:URL>http://revistas.espoch.edu.ec/index.php/cssn</b:URL>
    <b:RefOrder>6</b:RefOrder>
  </b:Source>
  <b:Source>
    <b:Tag>DeM23</b:Tag>
    <b:SourceType>JournalArticle</b:SourceType>
    <b:Guid>{6DEBDAA4-F58D-44F4-942F-91934D3B0187}</b:Guid>
    <b:LCID>en-US</b:LCID>
    <b:Author>
      <b:Author>
        <b:NameList>
          <b:Person>
            <b:Last>De Mucio</b:Last>
            <b:First>Bremen</b:First>
          </b:Person>
          <b:Person>
            <b:Last>Sosa</b:Last>
            <b:First>Claudio</b:First>
          </b:Person>
          <b:Person>
            <b:Last>Martino</b:Last>
            <b:First>Nicólas</b:First>
          </b:Person>
        </b:NameList>
      </b:Author>
    </b:Author>
    <b:Title>Morbilidad Materna Extremadamente Grave: un paso clave para reducir la muerte materna</b:Title>
    <b:JournalName>Revista Médica Clínica Las Condes</b:JournalName>
    <b:Year>2023</b:Year>
    <b:Pages>26-32</b:Pages>
    <b:Volume>34</b:Volume>
    <b:Issue>1</b:Issue>
    <b:DOI>https://doi.o10.1016/j.rmclc.2023.01.005</b:DOI>
    <b:RefOrder>7</b:RefOrder>
  </b:Source>
  <b:Source>
    <b:Tag>Tor25</b:Tag>
    <b:SourceType>JournalArticle</b:SourceType>
    <b:Guid>{434EC09B-2EBE-499E-8CF1-F92CE0F315C8}</b:Guid>
    <b:LCID>en-US</b:LCID>
    <b:Author>
      <b:Author>
        <b:NameList>
          <b:Person>
            <b:Last>Torres</b:Last>
            <b:First>Johnatan</b:First>
          </b:Person>
          <b:Person>
            <b:Last>Martínez</b:Last>
            <b:First>Raigam</b:First>
          </b:Person>
          <b:Person>
            <b:Last>Espino</b:Last>
            <b:First>Salvador</b:First>
          </b:Person>
          <b:Person>
            <b:Last>Monroy</b:Last>
            <b:First>Eloisa</b:First>
          </b:Person>
        </b:NameList>
      </b:Author>
    </b:Author>
    <b:Title>Determinantes sociales maternos de la salud: la cara oculta de la mortalidad perinatal en México</b:Title>
    <b:JournalName>Revista Internacional para la Equidad en Salud volume</b:JournalName>
    <b:Year>2025</b:Year>
    <b:Issue>24</b:Issue>
    <b:DOI>10.1186/s12939-025-02471-w</b:DOI>
    <b:RefOrder>8</b:RefOrder>
  </b:Source>
  <b:Source>
    <b:Tag>Ser25</b:Tag>
    <b:SourceType>JournalArticle</b:SourceType>
    <b:Guid>{6CC32F65-8B93-437F-BABB-5D138475DEF7}</b:Guid>
    <b:LCID>en-US</b:LCID>
    <b:Author>
      <b:Author>
        <b:NameList>
          <b:Person>
            <b:Last>Serván</b:Last>
            <b:First>E.</b:First>
          </b:Person>
          <b:Person>
            <b:Last>Pineda</b:Last>
            <b:First>C.</b:First>
          </b:Person>
          <b:Person>
            <b:Last>Cerecero</b:Last>
            <b:First>D</b:First>
          </b:Person>
        </b:NameList>
      </b:Author>
    </b:Author>
    <b:Title>Health system financing fragmentation and maternal mortality transition in Mexico, 2000–2022</b:Title>
    <b:JournalName>International Journal for Equity in Health </b:JournalName>
    <b:Year>2025</b:Year>
    <b:Volume>24</b:Volume>
    <b:Issue>32</b:Issue>
    <b:DOI>10.1186/s12939-024-02357-3</b:DOI>
    <b:RefOrder>9</b:RefOrder>
  </b:Source>
  <b:Source>
    <b:Tag>Sán236</b:Tag>
    <b:SourceType>JournalArticle</b:SourceType>
    <b:Guid>{2E22E605-685F-47C7-9075-731D63867933}</b:Guid>
    <b:LCID>en-US</b:LCID>
    <b:Author>
      <b:Author>
        <b:NameList>
          <b:Person>
            <b:Last>Sánchez</b:Last>
            <b:First>Shirley</b:First>
          </b:Person>
          <b:Person>
            <b:Last>Macas</b:Last>
            <b:First>Mayra</b:First>
          </b:Person>
          <b:Person>
            <b:Last>Jingo</b:Last>
            <b:First>Rocío</b:First>
          </b:Person>
          <b:Person>
            <b:Last>Segovia</b:Last>
            <b:First>Tania</b:First>
          </b:Person>
        </b:NameList>
      </b:Author>
    </b:Author>
    <b:Title>Una aproximación a la muerte materna en la Amazonía ecuatoriana en el periodo 2017-2022</b:Title>
    <b:JournalName>Ciencia Latina Revista Científica Multidisciplinar</b:JournalName>
    <b:Year>2023</b:Year>
    <b:Pages>3228-3246</b:Pages>
    <b:Volume>7</b:Volume>
    <b:Issue>2</b:Issue>
    <b:DOI>10.37811/cl_rcm.v7i2.5566</b:DOI>
    <b:RefOrder>10</b:RefOrder>
  </b:Source>
  <b:Source>
    <b:Tag>Alc232</b:Tag>
    <b:SourceType>JournalArticle</b:SourceType>
    <b:Guid>{E1EE6923-7606-43B6-A6D6-5DE59213ACBB}</b:Guid>
    <b:LCID>en-US</b:LCID>
    <b:Author>
      <b:Author>
        <b:NameList>
          <b:Person>
            <b:Last>Alcoser</b:Last>
            <b:First>Mauricio</b:First>
          </b:Person>
          <b:Person>
            <b:Last>Sánchez</b:Last>
            <b:First>Shirley</b:First>
          </b:Person>
          <b:Person>
            <b:Last>Amores</b:Last>
            <b:First>Natalia</b:First>
          </b:Person>
          <b:Person>
            <b:Last>Sarango</b:Last>
            <b:First>María</b:First>
          </b:Person>
          <b:Person>
            <b:Last>Segovia</b:Last>
            <b:First>Tani</b:First>
          </b:Person>
        </b:NameList>
      </b:Author>
    </b:Author>
    <b:Title>Factores sociodemográficos y clínicos que inciden en la muerte materna en la provincia del Napo </b:Title>
    <b:JournalName>Ciencia Latina Revista Científica Multidisciplinar</b:JournalName>
    <b:Year>2023</b:Year>
    <b:Pages>6828-6847</b:Pages>
    <b:Volume>7</b:Volume>
    <b:Issue>4</b:Issue>
    <b:DOI>10.37811/cl_rcm.v7i4.7441</b:DOI>
    <b:RefOrder>11</b:RefOrder>
  </b:Source>
  <b:Source>
    <b:Tag>Dáv23</b:Tag>
    <b:SourceType>JournalArticle</b:SourceType>
    <b:Guid>{32C6995B-4602-45BD-ABE5-852F37EF4D2C}</b:Guid>
    <b:LCID>en-US</b:LCID>
    <b:Author>
      <b:Author>
        <b:NameList>
          <b:Person>
            <b:Last>Dávila</b:Last>
            <b:First>Johnny</b:First>
          </b:Person>
          <b:Person>
            <b:Last>Palacios</b:Last>
            <b:First>María</b:First>
          </b:Person>
          <b:Person>
            <b:Last>Macías</b:Last>
            <b:First>Ángela</b:First>
          </b:Person>
          <b:Person>
            <b:Last>Macay</b:Last>
            <b:First>Regina</b:First>
          </b:Person>
        </b:NameList>
      </b:Author>
    </b:Author>
    <b:Title>Mortalidad materna y control prenatal</b:Title>
    <b:JournalName>RECIMUNDO</b:JournalName>
    <b:Year>2023</b:Year>
    <b:Pages>456-467</b:Pages>
    <b:Volume>7</b:Volume>
    <b:Issue>1</b:Issue>
    <b:DOI>10.26820/recimundo/7.(1).enero.2023.456-467</b:DOI>
    <b:RefOrder>12</b:RefOrder>
  </b:Source>
  <b:Source>
    <b:Tag>Gut223</b:Tag>
    <b:SourceType>JournalArticle</b:SourceType>
    <b:Guid>{544CDF09-A365-45EC-A54C-A2E9BA7DE23E}</b:Guid>
    <b:LCID>en-US</b:LCID>
    <b:Author>
      <b:Author>
        <b:NameList>
          <b:Person>
            <b:Last>Gutiérrez</b:Last>
            <b:First>Miguel</b:First>
          </b:Person>
        </b:NameList>
      </b:Author>
    </b:Author>
    <b:Title>Mortalidad materna, ¿cambiando la causalidad el 2021?</b:Title>
    <b:JournalName>Revista Peruana de Ginecología y Obstetricia</b:JournalName>
    <b:Year>2022</b:Year>
    <b:Volume>68</b:Volume>
    <b:Issue>1</b:Issue>
    <b:DOI>10.31403/rpgo.v68i2407 </b:DOI>
    <b:RefOrder>2</b:RefOrder>
  </b:Source>
  <b:Source>
    <b:Tag>Lap24</b:Tag>
    <b:SourceType>JournalArticle</b:SourceType>
    <b:Guid>{071F69CD-E191-49B9-BC6E-2A261DF8C838}</b:Guid>
    <b:LCID>en-US</b:LCID>
    <b:Author>
      <b:Author>
        <b:NameList>
          <b:Person>
            <b:Last>Lapo</b:Last>
            <b:First>Germán</b:First>
          </b:Person>
        </b:NameList>
      </b:Author>
    </b:Author>
    <b:Title>Nationwide study of in-hospital maternal mortality in Ecuador, 2015–2022</b:Title>
    <b:JournalName>Revista Panamericana de Salud Publica</b:JournalName>
    <b:Year>2024</b:Year>
    <b:Pages>8p</b:Pages>
    <b:Volume>48</b:Volume>
    <b:DOI>10.26633/RPSP.2024.5</b:DOI>
    <b:RefOrder>13</b:RefOrder>
  </b:Source>
  <b:Source>
    <b:Tag>Peñ25</b:Tag>
    <b:SourceType>JournalArticle</b:SourceType>
    <b:Guid>{2BB3DDB5-5A2E-480F-8032-FF76E6B2FE4A}</b:Guid>
    <b:LCID>en-US</b:LCID>
    <b:Author>
      <b:Author>
        <b:NameList>
          <b:Person>
            <b:Last>Peñarreta</b:Last>
            <b:First>Santiago</b:First>
          </b:Person>
          <b:Person>
            <b:Last>Revelo</b:Last>
            <b:First>Yesenia</b:First>
          </b:Person>
          <b:Person>
            <b:Last>Congo</b:Last>
            <b:First>Scarleth</b:First>
          </b:Person>
        </b:NameList>
      </b:Author>
    </b:Author>
    <b:Title>Salud materna y neonatal en Ecuador durante la pandemia de COVID-19: perspectivas epidemiológicas de 2020-2023</b:Title>
    <b:JournalName>Revista Metropolitana De Ciencias Aplicadas</b:JournalName>
    <b:Year>2025</b:Year>
    <b:Pages>154-164</b:Pages>
    <b:Volume>8</b:Volume>
    <b:Issue>S1</b:Issue>
    <b:DOI>10.62452/vam7t440</b:DOI>
    <b:RefOrder>14</b:RefOrder>
  </b:Source>
  <b:Source>
    <b:Tag>Rod207</b:Tag>
    <b:SourceType>JournalArticle</b:SourceType>
    <b:Guid>{1F3D5B2F-CD65-4B00-9E90-F37047455CCF}</b:Guid>
    <b:Author>
      <b:Author>
        <b:NameList>
          <b:Person>
            <b:Last>Rodríguez</b:Last>
            <b:First>Adisnay</b:First>
          </b:Person>
          <b:Person>
            <b:Last>Verano</b:Last>
            <b:First>Nancy</b:First>
          </b:Person>
          <b:Person>
            <b:Last>Cabrera</b:Last>
            <b:First>Mayrnis</b:First>
          </b:Person>
          <b:Person>
            <b:Last>Mejía</b:Last>
            <b:First>María</b:First>
          </b:Person>
        </b:NameList>
      </b:Author>
    </b:Author>
    <b:Title>Niveles de riesgo de mortalidad materna en el Ecuador</b:Title>
    <b:JournalName>Revista Dilemas Contemporáneos: Educación, Política y Valores</b:JournalName>
    <b:Year>2020</b:Year>
    <b:Volume>7</b:Volume>
    <b:Issue>Edición Especial</b:Issue>
    <b:DOI>10.46377/dilemas.v33i1.2130</b:DOI>
    <b:LCID>en-US</b:LCID>
    <b:RefOrder>15</b:RefOrder>
  </b:Source>
  <b:Source>
    <b:Tag>Rev242</b:Tag>
    <b:SourceType>InternetSite</b:SourceType>
    <b:Guid>{FCA56A3A-02D3-4939-9A0A-AB7C6E1C154B}</b:Guid>
    <b:Author>
      <b:Author>
        <b:Corporate>Revista Gestión</b:Corporate>
      </b:Author>
    </b:Author>
    <b:Title>Mortalidad materna: Ecuador mejora pero no lo suficiente</b:Title>
    <b:Year>2024</b:Year>
    <b:LCID>en-US</b:LCID>
    <b:Month>Abril</b:Month>
    <b:Day>7</b:Day>
    <b:URL>https://revistagestion.primicias.ec/analisis-sociedad/mortalidad-materna-ecuador-mejora-pero-no-lo-suficiente</b:URL>
    <b:RefOrder>16</b:RefOrder>
  </b:Source>
  <b:Source>
    <b:Tag>Lab24</b:Tag>
    <b:SourceType>JournalArticle</b:SourceType>
    <b:Guid>{ED428B0D-3E4D-44E6-BC5B-676920720CC6}</b:Guid>
    <b:LCID>en-US</b:LCID>
    <b:Author>
      <b:Author>
        <b:NameList>
          <b:Person>
            <b:Last>Labanda</b:Last>
            <b:First>Jorge</b:First>
          </b:Person>
          <b:Person>
            <b:Last>Narea</b:Last>
            <b:First>Vicky</b:First>
          </b:Person>
        </b:NameList>
      </b:Author>
    </b:Author>
    <b:Title>Morbimortalidad materna infantil en Ecuador del 2000 al 2017 y los objetivos de desarrollo sostenible “ODS”</b:Title>
    <b:JournalName>Pro Sciences. Revista De Producción, Ciencias E Investigación</b:JournalName>
    <b:Year>2024</b:Year>
    <b:Pages>106-120</b:Pages>
    <b:Volume>8</b:Volume>
    <b:Issue>52</b:Issue>
    <b:DOI>10.29018/issn.25881000vol8iss52.2024pp106-120</b:DOI>
    <b:RefOrder>17</b:RefOrder>
  </b:Source>
  <b:Source>
    <b:Tag>Mer232</b:Tag>
    <b:SourceType>JournalArticle</b:SourceType>
    <b:Guid>{5AE1055F-3F1B-4781-BC1A-BEE9199AB41B}</b:Guid>
    <b:LCID>en-US</b:LCID>
    <b:Author>
      <b:Author>
        <b:NameList>
          <b:Person>
            <b:Last>Merialdi</b:Last>
            <b:First>Mario</b:First>
          </b:Person>
        </b:NameList>
      </b:Author>
    </b:Author>
    <b:Title>Generando evidencia clínica para una innovación en salud materna y neonatal: el dispositivo inflable OdonAssist™ para parto vaginal asistido</b:Title>
    <b:JournalName>Revista Médica Clínica Las Condes</b:JournalName>
    <b:Year>2023</b:Year>
    <b:Pages>18-21</b:Pages>
    <b:Volume>34</b:Volume>
    <b:Issue>1</b:Issue>
    <b:DOI>10.1016/j.rmclc.2023.01.004</b:DOI>
    <b:RefOrder>18</b:RefOrder>
  </b:Source>
  <b:Source>
    <b:Tag>Bul20</b:Tag>
    <b:SourceType>JournalArticle</b:SourceType>
    <b:Guid>{E1649A26-DF2B-433D-BA78-F05F9BC909E6}</b:Guid>
    <b:LCID>en-US</b:LCID>
    <b:Author>
      <b:Author>
        <b:NameList>
          <b:Person>
            <b:Last>Bula</b:Last>
            <b:First>Javier</b:First>
          </b:Person>
          <b:Person>
            <b:Last>Urzola</b:Last>
            <b:First>Kelly</b:First>
          </b:Person>
        </b:NameList>
      </b:Author>
    </b:Author>
    <b:Title>Madres ausentes: La voz de los profesionales de salud ante las muertes maternas del departamento de Córdoba -Colombia</b:Title>
    <b:JournalName>Enfermería Actual de Costa Rica</b:JournalName>
    <b:Year>2020</b:Year>
    <b:Issue>39</b:Issue>
    <b:DOI>10.15517/revenf.v0i39.41405 </b:DOI>
    <b:RefOrder>19</b:RefOrder>
  </b:Source>
  <b:Source>
    <b:Tag>Suá24</b:Tag>
    <b:SourceType>JournalArticle</b:SourceType>
    <b:Guid>{9168E64E-6451-4058-8850-787C06BFBD3E}</b:Guid>
    <b:LCID>en-US</b:LCID>
    <b:Author>
      <b:Author>
        <b:NameList>
          <b:Person>
            <b:Last>Suárez</b:Last>
            <b:First>Erik</b:First>
          </b:Person>
          <b:Person>
            <b:Last>Jiménez</b:Last>
            <b:First>Angel</b:First>
          </b:Person>
          <b:Person>
            <b:Last>Angulo</b:Last>
            <b:First>Josselyn</b:First>
          </b:Person>
          <b:Person>
            <b:Last>Morocho</b:Last>
            <b:First>Nohely</b:First>
          </b:Person>
        </b:NameList>
      </b:Author>
    </b:Author>
    <b:Title>Las muertes maternas como problema de salud pública en Ecuador. Una revisión</b:Title>
    <b:JournalName>MQRInvestigar</b:JournalName>
    <b:Year>2024</b:Year>
    <b:Pages>5793-5805</b:Pages>
    <b:Volume>8</b:Volume>
    <b:Issue>3</b:Issue>
    <b:DOI>10.56048/MQR20225.8.3.2024.5793-5805</b:DOI>
    <b:RefOrder>20</b:RefOrder>
  </b:Source>
  <b:Source>
    <b:Tag>Vél25</b:Tag>
    <b:SourceType>JournalArticle</b:SourceType>
    <b:Guid>{96D6D573-C4FD-4D67-A5A3-241A2FE44497}</b:Guid>
    <b:Title>Mortalidad materna en Ecuador: Avances y desafíos en políticas de salud pública</b:Title>
    <b:Year>2025</b:Year>
    <b:URL>https://revistas.utmachala.edu.ec/revistas/index.php/recimed/article/view/893</b:URL>
    <b:Pages>17-28</b:Pages>
    <b:Author>
      <b:Author>
        <b:NameList>
          <b:Person>
            <b:Last>Vélez</b:Last>
            <b:First>María</b:First>
          </b:Person>
        </b:NameList>
      </b:Author>
    </b:Author>
    <b:JournalName>Revista de Ciencias Médicas</b:JournalName>
    <b:Volume>1</b:Volume>
    <b:Issue>1</b:Issue>
    <b:LCID>en-US</b:LCID>
    <b:RefOrder>21</b:RefOrder>
  </b:Source>
  <b:Source>
    <b:Tag>Mar239</b:Tag>
    <b:SourceType>JournalArticle</b:SourceType>
    <b:Guid>{F4DE612C-DC48-4B52-84CD-19564F02A503}</b:Guid>
    <b:LCID>en-US</b:LCID>
    <b:Author>
      <b:Author>
        <b:NameList>
          <b:Person>
            <b:Last>Maraza</b:Last>
            <b:First>B.</b:First>
          </b:Person>
          <b:Person>
            <b:Last>Torres</b:Last>
            <b:First>J.</b:First>
          </b:Person>
          <b:Person>
            <b:Last>Reymer</b:Last>
            <b:First>G.</b:First>
          </b:Person>
          <b:Person>
            <b:Last>Aguilar</b:Last>
            <b:First>J.</b:First>
          </b:Person>
          <b:Person>
            <b:Last>Angulo</b:Last>
            <b:First>E.</b:First>
          </b:Person>
          <b:Person>
            <b:Last>Huaracha</b:Last>
            <b:First>D.</b:First>
          </b:Person>
        </b:NameList>
      </b:Author>
    </b:Author>
    <b:Title>Hacia el desarrollo de habilidades investigativas de los estudiantes de física a través del uso de simuladores: Un estudio de caso.</b:Title>
    <b:JournalName>Revista Internacional de Tecnología de la Información y la Educación</b:JournalName>
    <b:Year>2023</b:Year>
    <b:Pages>1062–1069</b:Pages>
    <b:Volume>13</b:Volume>
    <b:Issue>7</b:Issue>
    <b:DOI>10.18178/ijiet.2023.13.7.1905</b:DOI>
    <b:RefOrder>9</b:RefOrder>
  </b:Source>
  <b:Source>
    <b:Tag>Yai23</b:Tag>
    <b:SourceType>JournalArticle</b:SourceType>
    <b:Guid>{D09F6941-BF03-4975-8E4C-6F1B2E8C8CB6}</b:Guid>
    <b:LCID>en-US</b:LCID>
    <b:Author>
      <b:Author>
        <b:NameList>
          <b:Person>
            <b:Last>Yaipén</b:Last>
            <b:First>Héctor</b:First>
          </b:Person>
          <b:Person>
            <b:Last>Pulido</b:Last>
            <b:First>Luis</b:First>
          </b:Person>
          <b:Person>
            <b:Last>Montenegro</b:Last>
            <b:First>Luis</b:First>
          </b:Person>
          <b:Person>
            <b:Last>Huerta</b:Last>
            <b:First>Rosario</b:First>
          </b:Person>
          <b:Person>
            <b:Last>al</b:Last>
            <b:First>et</b:First>
          </b:Person>
        </b:NameList>
      </b:Author>
    </b:Author>
    <b:Title>Virtual Simulators inThe  Teaching-Learning ofChemistry andPhysics: A Systematic Review ofThe Literature</b:Title>
    <b:JournalName>International Journalof Membrane Science and Technology</b:JournalName>
    <b:Year>2023</b:Year>
    <b:Pages>632-641</b:Pages>
    <b:Volume>10</b:Volume>
    <b:Issue>4</b:Issue>
    <b:URL>https://cosmosscholars.com/phms/index.php/ijmst/article/view/2109/1355</b:URL>
    <b:RefOrder>7</b:RefOrder>
  </b:Source>
  <b:Source>
    <b:Tag>Reh21</b:Tag>
    <b:SourceType>JournalArticle</b:SourceType>
    <b:Guid>{7EA8EEBD-3D3F-47BC-BF63-7E9061BF26B9}</b:Guid>
    <b:LCID>en-US</b:LCID>
    <b:Author>
      <b:Author>
        <b:NameList>
          <b:Person>
            <b:Last>Rehman</b:Last>
            <b:First>N.</b:First>
          </b:Person>
          <b:Person>
            <b:Last>Zhang</b:Last>
            <b:First>W.</b:First>
          </b:Person>
          <b:Person>
            <b:Last>Mahmood</b:Last>
            <b:First>A.</b:First>
          </b:Person>
          <b:Person>
            <b:Last>Alam</b:Last>
            <b:First>F</b:First>
          </b:Person>
        </b:NameList>
      </b:Author>
    </b:Author>
    <b:Title>Enseñanza de la física con simulación interactiva por ordenador en el nivel secundario</b:Title>
    <b:JournalName>Cadernos de Educação Tecnologia e Sociedade</b:JournalName>
    <b:Year>2021</b:Year>
    <b:Pages>127-141</b:Pages>
    <b:Volume>14</b:Volume>
    <b:Issue>1</b:Issue>
    <b:DOI>10.14571/brajets.v14.n1</b:DOI>
    <b:RefOrder>1</b:RefOrder>
  </b:Source>
  <b:Source>
    <b:Tag>Dar21</b:Tag>
    <b:SourceType>JournalArticle</b:SourceType>
    <b:Guid>{7F16A826-07AB-4E02-B93B-6A815AF4870B}</b:Guid>
    <b:LCID>en-US</b:LCID>
    <b:Author>
      <b:Author>
        <b:NameList>
          <b:Person>
            <b:Last>Darko</b:Last>
            <b:First>Elizabeth</b:First>
          </b:Person>
          <b:Person>
            <b:Last>Darko</b:Last>
            <b:First>Douglas</b:First>
          </b:Person>
        </b:NameList>
      </b:Author>
    </b:Author>
    <b:Title>Mejorar el aprendizaje de los conceptos de física por parte de los estudiantes con la simulación como herramienta didáctica de las TIC</b:Title>
    <b:JournalName>Revista Europea de Educación y Multimedia Interactiva </b:JournalName>
    <b:Year>2021</b:Year>
    <b:Pages>e02111</b:Pages>
    <b:Volume>2</b:Volume>
    <b:Issue>2</b:Issue>
    <b:DOI>10.30935/ejimed/11259</b:DOI>
    <b:RefOrder>2</b:RefOrder>
  </b:Source>
  <b:Source>
    <b:Tag>Sau21</b:Tag>
    <b:SourceType>JournalArticle</b:SourceType>
    <b:Guid>{0691B2C9-ADD2-4257-92D9-DD8E7032C6BA}</b:Guid>
    <b:Author>
      <b:Author>
        <b:NameList>
          <b:Person>
            <b:Last>Saudelli</b:Last>
            <b:First>María</b:First>
          </b:Person>
          <b:Person>
            <b:Last>Petirrojo</b:Last>
            <b:First>Kleiv</b:First>
          </b:Person>
          <b:Person>
            <b:Last>Davies</b:Last>
            <b:First>Jessica</b:First>
          </b:Person>
          <b:Person>
            <b:Last>Jungmark</b:Last>
            <b:First>Martín</b:First>
          </b:Person>
          <b:Person>
            <b:Last>Mueller</b:Last>
            <b:First>Rebecca</b:First>
          </b:Person>
        </b:NameList>
      </b:Author>
    </b:Author>
    <b:Title>Simulaciones PhET en Física de Pregrado: Teoría del Aprendizaje Constructivista en la Práctica</b:Title>
    <b:JournalName>Brock Education: Una revista de investigación y práctica educativa</b:JournalName>
    <b:Year>2021</b:Year>
    <b:Pages>52-68</b:Pages>
    <b:Volume>31</b:Volume>
    <b:Issue>1</b:Issue>
    <b:URL>https://journals.library.brocku.ca/brocked</b:URL>
    <b:LCID>en-US</b:LCID>
    <b:RefOrder>8</b:RefOrder>
  </b:Source>
  <b:Source>
    <b:Tag>Kef25</b:Tag>
    <b:SourceType>JournalArticle</b:SourceType>
    <b:Guid>{44A5154F-BA17-42B8-812B-16E51CD45816}</b:Guid>
    <b:LCID>en-US</b:LCID>
    <b:Author>
      <b:Author>
        <b:NameList>
          <b:Person>
            <b:Last>Kefalis</b:Last>
            <b:First>Chrysovalantis</b:First>
          </b:Person>
          <b:Person>
            <b:Last>Constantino</b:Last>
            <b:First>Skordoulis</b:First>
          </b:Person>
          <b:Person>
            <b:Last>Athanasios</b:Last>
            <b:First>Drigas</b:First>
          </b:Person>
        </b:NameList>
      </b:Author>
    </b:Author>
    <b:Title>Simulaciones digitales en la educación STEM: perspectivas de estudios empíricos recientes, una revisión sistemática</b:Title>
    <b:JournalName>Enciclopedia</b:JournalName>
    <b:Year>2025</b:Year>
    <b:Pages>10</b:Pages>
    <b:Volume>5</b:Volume>
    <b:Issue>1</b:Issue>
    <b:DOI>10.3390/encyclopedia5010010</b:DOI>
    <b:RefOrder>11</b:RefOrder>
  </b:Source>
  <b:Source>
    <b:Tag>Lóp242</b:Tag>
    <b:SourceType>JournalArticle</b:SourceType>
    <b:Guid>{D85A033C-F7B7-4AE7-B1FD-6A7A55B08FB4}</b:Guid>
    <b:LCID>en-US</b:LCID>
    <b:Author>
      <b:Author>
        <b:NameList>
          <b:Person>
            <b:Last>López</b:Last>
            <b:First>Elmer</b:First>
          </b:Person>
          <b:Person>
            <b:Last>Gaitán</b:Last>
            <b:First>Héctor</b:First>
          </b:Person>
          <b:Person>
            <b:Last>Picado</b:Last>
            <b:First>Johnson</b:First>
          </b:Person>
          <b:Person>
            <b:Last>Herrera</b:Last>
            <b:First>Cliffor</b:First>
          </b:Person>
        </b:NameList>
      </b:Author>
    </b:Author>
    <b:Title>Simulador Fluidflow y Asistente Matemático para la demostración de existencia de fluidos miscibles</b:Title>
    <b:JournalName>Revista Universitaria del Caribe</b:JournalName>
    <b:Year>2024</b:Year>
    <b:Volume>32</b:Volume>
    <b:Issue>1</b:Issue>
    <b:DOI>10.5377/ruc.v32i1.20253</b:DOI>
    <b:Pages>45-58</b:Pages>
    <b:RefOrder>12</b:RefOrder>
  </b:Source>
  <b:Source>
    <b:Tag>Her241</b:Tag>
    <b:SourceType>JournalArticle</b:SourceType>
    <b:Guid>{BF12CEC3-90A5-4628-9E89-5F6D17D05EB0}</b:Guid>
    <b:Title>Desarrollo de competencias a través de prototipos y simuladores en un entorno interdisciplinario de física-matemática</b:Title>
    <b:JournalName>Revista Oratores</b:JournalName>
    <b:Year>2024</b:Year>
    <b:Pages>78-102</b:Pages>
    <b:Volume>1</b:Volume>
    <b:Issue>20</b:Issue>
    <b:DOI>10.37594/oratores.n20.1243</b:DOI>
    <b:Author>
      <b:Author>
        <b:NameList>
          <b:Person>
            <b:Last>Herrera</b:Last>
            <b:First>Cliffor</b:First>
          </b:Person>
        </b:NameList>
      </b:Author>
    </b:Author>
    <b:Institution>Universidad Metropolitana de Educación, Ciencia y Tecnología</b:Institution>
    <b:RefOrder>13</b:RefOrder>
  </b:Source>
  <b:Source>
    <b:Tag>Sán208</b:Tag>
    <b:SourceType>JournalArticle</b:SourceType>
    <b:Guid>{57DE9E21-6951-43D3-9295-EA7AAE747077}</b:Guid>
    <b:LCID>en-US</b:LCID>
    <b:Author>
      <b:Author>
        <b:NameList>
          <b:Person>
            <b:Last>Sánchez</b:Last>
            <b:First>Rubén</b:First>
          </b:Person>
          <b:Person>
            <b:Last>Mora</b:Last>
            <b:First>César</b:First>
          </b:Person>
        </b:NameList>
      </b:Author>
    </b:Author>
    <b:Title>Simulación en Easy Java para el campo de Poynting de un circuito circular</b:Title>
    <b:JournalName>Revista Brasileira de Ensino de Física </b:JournalName>
    <b:Year>2020</b:Year>
    <b:Pages>e20190065</b:Pages>
    <b:Volume>42</b:Volume>
    <b:DOI>10.1590/1806-9126-RBEF-2019-0065 </b:DOI>
    <b:RefOrder>14</b:RefOrder>
  </b:Source>
  <b:Source>
    <b:Tag>Pom23</b:Tag>
    <b:SourceType>JournalArticle</b:SourceType>
    <b:Guid>{C0D5E4D0-811B-4631-9BE2-9FDC47CFDEBB}</b:Guid>
    <b:LCID>en-US</b:LCID>
    <b:Author>
      <b:Author>
        <b:NameList>
          <b:Person>
            <b:Last>Poma</b:Last>
            <b:First>Luis</b:First>
          </b:Person>
          <b:Person>
            <b:Last>Terán</b:Last>
            <b:First>Gullermo</b:First>
          </b:Person>
          <b:Person>
            <b:Last>Arequipa</b:Last>
            <b:First>Elsa</b:First>
          </b:Person>
          <b:Person>
            <b:Last>Dominguez</b:Last>
            <b:First>Luis</b:First>
          </b:Person>
        </b:NameList>
      </b:Author>
    </b:Author>
    <b:Title>Impacto del uso de FISLAB en el aprendizaje de la Física experimen-tal, estudio de caso: Universidad Central del Ecuador</b:Title>
    <b:JournalName>Reciamuc</b:JournalName>
    <b:Year>2023</b:Year>
    <b:Pages>430-438</b:Pages>
    <b:Volume>7</b:Volume>
    <b:Issue>1</b:Issue>
    <b:DOI>10.26820/reciamuc/7.(1).enero.2023.430-438</b:DOI>
    <b:RefOrder>10</b:RefOrder>
  </b:Source>
  <b:Source>
    <b:Tag>Álv25</b:Tag>
    <b:SourceType>JournalArticle</b:SourceType>
    <b:Guid>{55D4BDF6-C3A2-4BD3-84E3-2C16848EE0BD}</b:Guid>
    <b:Title>Simulators as an Innovative Strategy in the Teaching of Physics in Higher Education.</b:Title>
    <b:Year>2025</b:Year>
    <b:Author>
      <b:Author>
        <b:NameList>
          <b:Person>
            <b:Last>Álvarez</b:Last>
            <b:First>Felipe</b:First>
          </b:Person>
          <b:Person>
            <b:Last>Merino</b:Last>
            <b:First>César</b:First>
          </b:Person>
          <b:Person>
            <b:Last>Rosas</b:Last>
            <b:First>Samuel</b:First>
          </b:Person>
          <b:Person>
            <b:Last>Pérez</b:Last>
            <b:First>Martín</b:First>
          </b:Person>
          <b:Person>
            <b:Last>Chans</b:Last>
            <b:First>Guillermo</b:First>
          </b:Person>
        </b:NameList>
      </b:Author>
    </b:Author>
    <b:JournalName>Education Sciences</b:JournalName>
    <b:Pages>131</b:Pages>
    <b:LCID>en-US</b:LCID>
    <b:Volume>15</b:Volume>
    <b:Issue>2</b:Issue>
    <b:DOI>10.3390/educsci15020131</b:DOI>
    <b:RefOrder>5</b:RefOrder>
  </b:Source>
  <b:Source>
    <b:Tag>Ban234</b:Tag>
    <b:SourceType>JournalArticle</b:SourceType>
    <b:Guid>{F6428CB3-70D4-4A2B-A98B-821ED38996A0}</b:Guid>
    <b:LCID>en-US</b:LCID>
    <b:Author>
      <b:Author>
        <b:NameList>
          <b:Person>
            <b:Last>Banda</b:Last>
            <b:First>HJ</b:First>
          </b:Person>
          <b:Person>
            <b:Last>Nzabahimana</b:Last>
            <b:First>J.</b:First>
          </b:Person>
        </b:NameList>
      </b:Author>
    </b:Author>
    <b:Title>The Impact of Physics Education Technology (PhET) Interactive Simulation-Based Learning on Motivation and Academic Achievement Among Malawian Physics Students</b:Title>
    <b:JournalName>J Sci Educ Technol.</b:JournalName>
    <b:Year>2023</b:Year>
    <b:Pages>127-141</b:Pages>
    <b:Volume>32</b:Volume>
    <b:Issue>1</b:Issue>
    <b:DOI>10.1007/s10956-022-10010-3</b:DOI>
    <b:RefOrder>6</b:RefOrder>
  </b:Source>
  <b:Source>
    <b:Tag>Sar21</b:Tag>
    <b:SourceType>JournalArticle</b:SourceType>
    <b:Guid>{6C7CC159-DEB0-49B5-A4A6-07DDBD938057}</b:Guid>
    <b:Title>Viabilidad de la simulación por computadora para el aprendizaje de la ley de Newton</b:Title>
    <b:JournalName>Revista Turca de Educación Informática y Matemática (TURCOMAT)</b:JournalName>
    <b:Year>2021</b:Year>
    <b:Pages>4282–4291</b:Pages>
    <b:Volume>12</b:Volume>
    <b:Issue>14</b:Issue>
    <b:URL>https://www.turcomat.org/index.php/turkbilmat/article/view/11270</b:URL>
    <b:LCID>en-US</b:LCID>
    <b:Author>
      <b:Author>
        <b:NameList>
          <b:Person>
            <b:Last>Sari</b:Last>
            <b:First>D.</b:First>
          </b:Person>
          <b:Person>
            <b:Last>Widodo</b:Last>
            <b:First>W.</b:First>
          </b:Person>
          <b:Person>
            <b:Last>Madlazim</b:Last>
            <b:First>M</b:First>
          </b:Person>
        </b:NameList>
      </b:Author>
    </b:Author>
    <b:RefOrder>15</b:RefOrder>
  </b:Source>
  <b:Source>
    <b:Tag>Tsv23</b:Tag>
    <b:SourceType>JournalArticle</b:SourceType>
    <b:Guid>{F23CAD89-800E-4C39-A1A9-E504C1778BD2}</b:Guid>
    <b:Author>
      <b:Author>
        <b:NameList>
          <b:Person>
            <b:Last>Tsvetkova</b:Last>
            <b:First>Olena</b:First>
          </b:Person>
          <b:Person>
            <b:Last>Piatykop</b:Last>
            <b:First>Olena</b:First>
          </b:Person>
          <b:Person>
            <b:Last>Dzherenova</b:Last>
            <b:First>Antonina</b:First>
          </b:Person>
          <b:Person>
            <b:Last>al</b:Last>
            <b:First>et</b:First>
          </b:Person>
        </b:NameList>
      </b:Author>
    </b:Author>
    <b:Title>Desarrollo e implementación de simulaciones de laboratorio de física virtual para mejorar la experiencia de aprendizaje en la educación superior</b:Title>
    <b:JournalName>Workshop on Cloud Technologies in Education</b:JournalName>
    <b:Year>2023</b:Year>
    <b:Pages>98-110</b:Pages>
    <b:Issue>10</b:Issue>
    <b:URL>https://cte.easyscience.education/cte2023/cte2023/paper10.pdf</b:URL>
    <b:LCID>en-US</b:LCID>
    <b:RefOrder>3</b:RefOrder>
  </b:Source>
  <b:Source>
    <b:Tag>Con244</b:Tag>
    <b:SourceType>JournalArticle</b:SourceType>
    <b:Guid>{C34C93AA-8B55-4EF6-B907-2C560C544E2C}</b:Guid>
    <b:Title>Startup Lean-Kaizen en procesos productivos de panela: el caso de un trapiche</b:Title>
    <b:Year>2024</b:Year>
    <b:Author>
      <b:Author>
        <b:NameList>
          <b:Person>
            <b:Last>Contreras</b:Last>
            <b:First>Castañeda</b:First>
            <b:Middle>Eduin Dionisio</b:Middle>
          </b:Person>
          <b:Person>
            <b:Last>Gordillo</b:Last>
            <b:First>Galeano</b:First>
            <b:Middle>Juan José</b:Middle>
          </b:Person>
          <b:Person>
            <b:Last>Olaya</b:Last>
            <b:First>Rodríguez</b:First>
            <b:Middle>Karol Juliana</b:Middle>
          </b:Person>
        </b:NameList>
      </b:Author>
    </b:Author>
    <b:JournalName>Ingeniería Cogent </b:JournalName>
    <b:Pages>1-14</b:Pages>
    <b:Volume>11</b:Volume>
    <b:Issue>1</b:Issue>
    <b:DOI>10.1080/23311916.2024.2322834</b:DOI>
    <b:RefOrder>8</b:RefOrder>
  </b:Source>
  <b:Source>
    <b:Tag>And231</b:Tag>
    <b:SourceType>JournalArticle</b:SourceType>
    <b:Guid>{D7D7CEFC-8F53-4864-B2F6-574DBE8D00A2}</b:Guid>
    <b:Author>
      <b:Author>
        <b:NameList>
          <b:Person>
            <b:Last>Androniceanu</b:Last>
            <b:First>Armenia</b:First>
          </b:Person>
          <b:Person>
            <b:Last>Enache</b:Last>
            <b:First>Loana</b:First>
            <b:Middle>Catalina</b:Middle>
          </b:Person>
          <b:Person>
            <b:Last>Narcisa</b:Last>
            <b:First>Valter</b:First>
            <b:Middle>Elena</b:Middle>
          </b:Person>
          <b:Person>
            <b:Last>Felix</b:Last>
            <b:First>Raduica</b:First>
            <b:Middle>Florin</b:Middle>
          </b:Person>
        </b:NameList>
      </b:Author>
      <b:BookAuthor>
        <b:NameList>
          <b:Person>
            <b:Last>Energías</b:Last>
            <b:First>Revista</b:First>
          </b:Person>
        </b:NameList>
      </b:BookAuthor>
    </b:Author>
    <b:Title>Aumentar la eficiencia energética con base en el enfoque Kaizen</b:Title>
    <b:Year>2023</b:Year>
    <b:Pages>1930-1960</b:Pages>
    <b:URL>10.3390/en16041930</b:URL>
    <b:JournalName>Revista Energías </b:JournalName>
    <b:Volume>16</b:Volume>
    <b:Issue>4</b:Issue>
    <b:DOI>10.3390/en16041930</b:DOI>
    <b:RefOrder>9</b:RefOrder>
  </b:Source>
  <b:Source>
    <b:Tag>Kaz24</b:Tag>
    <b:SourceType>JournalArticle</b:SourceType>
    <b:Guid>{F624F226-1B74-4156-86AD-0A5E1712E444}</b:Guid>
    <b:Author>
      <b:Author>
        <b:NameList>
          <b:Person>
            <b:Last>Kazim</b:Last>
            <b:First>Albayrak</b:First>
          </b:Person>
          <b:Person>
            <b:Last>Duzdar</b:Last>
            <b:First>Argun</b:First>
            <b:Middle>İrem</b:Middle>
          </b:Person>
          <b:Person>
            <b:Last>Kayakutlu</b:Last>
            <b:First>Gülgün</b:First>
          </b:Person>
          <b:Person>
            <b:Last>Kayalıca</b:Last>
            <b:First>Özgür</b:First>
          </b:Person>
        </b:NameList>
      </b:Author>
    </b:Author>
    <b:Title>Eficiencia energética lean: análisis de escenarios de aplicación en una planta frigorífica</b:Title>
    <b:JournalName>Revista Konya de Ciencias de la Ingeniería</b:JournalName>
    <b:Year>2024</b:Year>
    <b:Pages>53 - 68</b:Pages>
    <b:Volume>12</b:Volume>
    <b:Issue>1</b:Issue>
    <b:DOI>10.36306/konjes.1251805</b:DOI>
    <b:RefOrder>10</b:RefOrder>
  </b:Source>
  <b:Source>
    <b:Tag>Mom21</b:Tag>
    <b:SourceType>JournalArticle</b:SourceType>
    <b:Guid>{F9723D61-803A-4F27-84A8-D06AD9C1CE12}</b:Guid>
    <b:Author>
      <b:Author>
        <b:NameList>
          <b:Person>
            <b:Last>Momenitabar</b:Last>
            <b:First>Mohsen</b:First>
          </b:Person>
          <b:Person>
            <b:Last>Dehdari</b:Last>
            <b:First>Ebrahimi</b:First>
            <b:Middle>Zhila</b:Middle>
          </b:Person>
          <b:Person>
            <b:Last>Hassan</b:Last>
            <b:First>Hosseini</b:First>
            <b:Middle>Seyed</b:Middle>
          </b:Person>
          <b:Person>
            <b:Last>Arani</b:Last>
            <b:First>Mohammad</b:First>
          </b:Person>
        </b:NameList>
      </b:Author>
    </b:Author>
    <b:Title>Propuesta de un sistema de distribución eficiente para plantas de energía solar mediante técnicas de modelado y simulación matemática</b:Title>
    <b:JournalName>Revista Matemáticas</b:JournalName>
    <b:Year>2021</b:Year>
    <b:Pages>123-134</b:Pages>
    <b:Volume>12</b:Volume>
    <b:Issue>1</b:Issue>
    <b:DOI>10.48550/arXiv.2101.06193</b:DOI>
    <b:RefOrder>11</b:RefOrder>
  </b:Source>
  <b:Source>
    <b:Tag>Ios24</b:Tag>
    <b:SourceType>JournalArticle</b:SourceType>
    <b:Guid>{ACB13203-F8D1-4632-9C21-E3BD171FC22B}</b:Guid>
    <b:Author>
      <b:Author>
        <b:NameList>
          <b:Person>
            <b:Last>Ioshchikhes</b:Last>
            <b:First>Borys</b:First>
          </b:Person>
          <b:Person>
            <b:Last>Frank</b:Last>
            <b:First>Michael</b:First>
          </b:Person>
          <b:Person>
            <b:Last>Weigold</b:Last>
            <b:First>Matthias</b:First>
          </b:Person>
        </b:NameList>
      </b:Author>
    </b:Author>
    <b:Title>Una revisión sistemática sobre sistemas expertos para mejorar la eficiencia energética en la industria manufacturera</b:Title>
    <b:JournalName>Revista </b:JournalName>
    <b:Year>2024</b:Year>
    <b:Pages>123-145</b:Pages>
    <b:Volume>11</b:Volume>
    <b:Issue>3</b:Issue>
    <b:DOI>10.48550/arXiv.2407.04377</b:DOI>
    <b:RefOrder>12</b:RefOrder>
  </b:Source>
  <b:Source>
    <b:Tag>MaZ24</b:Tag>
    <b:SourceType>JournalArticle</b:SourceType>
    <b:Guid>{1AC34835-AADD-46A5-B9F2-CA504D09D454}</b:Guid>
    <b:Author>
      <b:Author>
        <b:NameList>
          <b:Person>
            <b:Last>Zhipeng</b:Last>
            <b:First>Ma</b:First>
          </b:Person>
          <b:Person>
            <b:Last>Nørregaard</b:Last>
            <b:First>Jørgensen</b:First>
            <b:Middle>Bo</b:Middle>
          </b:Person>
          <b:Person>
            <b:Last>Levesque</b:Last>
          </b:Person>
          <b:Person>
            <b:Last>Michelle</b:Last>
          </b:Person>
          <b:Person>
            <b:Last>Amazouz</b:Last>
            <b:First>Mouloud</b:First>
          </b:Person>
          <b:Person>
            <b:Last>Grace</b:Last>
            <b:First>Ma</b:First>
            <b:Middle>Zheng</b:Middle>
          </b:Person>
        </b:NameList>
      </b:Author>
    </b:Author>
    <b:Title>Modelos de negocio para la digitalización que posibilitaron la eficiencia energética y la flexibilidad en la industria: una encuesta con nueve estudios de caso</b:Title>
    <b:JournalName>Revista Computadoras y Sociedad</b:JournalName>
    <b:Year>2024</b:Year>
    <b:Pages>123-145</b:Pages>
    <b:Volume>23</b:Volume>
    <b:Issue>7</b:Issue>
    <b:DOI>10.1007/978-3-031-48649-4_15</b:DOI>
    <b:RefOrder>13</b:RefOrder>
  </b:Source>
  <b:Source>
    <b:Tag>Sán20</b:Tag>
    <b:SourceType>JournalArticle</b:SourceType>
    <b:Guid>{28FB6300-9393-47A8-AA57-2A1FAA4E0E7E}</b:Guid>
    <b:Author>
      <b:Author>
        <b:NameList>
          <b:Person>
            <b:Last>Sánchez</b:Last>
            <b:First>Ruiz</b:First>
            <b:Middle>Lidia</b:Middle>
          </b:Person>
          <b:Person>
            <b:Last>Blanco</b:Last>
            <b:First>Beatriz</b:First>
          </b:Person>
          <b:Person>
            <b:Last>Marín</b:Last>
            <b:First>García</b:First>
            <b:Middle>Juan A.</b:Middle>
          </b:Person>
          <b:Person>
            <b:Last>Diez</b:Last>
            <b:First>Busto</b:First>
            <b:Middle>Elsa</b:Middle>
          </b:Person>
        </b:NameList>
      </b:Author>
    </b:Author>
    <b:Title>Análisis del alcance de las prácticas Kaizen y ecológicas: estado del arte y direcciones futuras</b:Title>
    <b:JournalName>Environ, Int. J.</b:JournalName>
    <b:Year>2020</b:Year>
    <b:Pages>e- 8258</b:Pages>
    <b:Volume>17</b:Volume>
    <b:Issue>21</b:Issue>
    <b:DOI>10.3390/ijerph17218258</b:DOI>
    <b:RefOrder>14</b:RefOrder>
  </b:Source>
  <b:Source>
    <b:Tag>Moh23</b:Tag>
    <b:SourceType>JournalArticle</b:SourceType>
    <b:Guid>{6B411390-29E3-451F-8E54-1C874048A9B7}</b:Guid>
    <b:Author>
      <b:Author>
        <b:NameList>
          <b:Person>
            <b:Last>Mohamed</b:Last>
            <b:First>Kanan</b:First>
          </b:Person>
          <b:Person>
            <b:Last>Ansa</b:Last>
            <b:First>Rida</b:First>
            <b:Middle>Dilshad</b:Middle>
          </b:Person>
          <b:Person>
            <b:Last>Amjad</b:Last>
            <b:First>Hussain</b:First>
          </b:Person>
          <b:Person>
            <b:Last>Muhammad</b:Last>
            <b:First>Salman</b:First>
            <b:Middle>Habib Amjad, Mehmood</b:Middle>
          </b:Person>
          <b:Person>
            <b:Last>Zaher</b:Last>
            <b:First>Abusaq</b:First>
          </b:Person>
        </b:NameList>
      </b:Author>
    </b:Author>
    <b:Title>Un estudio empírico de la implementación de un marco integrado Ergo-Green-Lean: un estudio de caso</b:Title>
    <b:JournalName>Revista  Ingeniería y Ciencia Sostenible </b:JournalName>
    <b:Year>2023</b:Year>
    <b:Pages>e-10138</b:Pages>
    <b:Volume>15</b:Volume>
    <b:Issue>13</b:Issue>
    <b:DOI>10.3390/su151310138</b:DOI>
    <b:RefOrder>15</b:RefOrder>
  </b:Source>
  <b:Source>
    <b:Tag>Nyi23</b:Tag>
    <b:SourceType>JournalArticle</b:SourceType>
    <b:Guid>{68651BFD-792D-484D-8835-689B769BC6FA}</b:Guid>
    <b:Author>
      <b:Author>
        <b:NameList>
          <b:Person>
            <b:Last>Nyimbili</b:Last>
            <b:First>Harris</b:First>
          </b:Person>
          <b:Person>
            <b:Last>Sichinsambwe</b:Last>
            <b:First>Chanda</b:First>
          </b:Person>
          <b:Person>
            <b:Last>Lubosi</b:Last>
            <b:First>Simasiku</b:First>
            <b:Middle>Peter</b:Middle>
          </b:Person>
          <b:Person>
            <b:Last>Nyimbili</b:Last>
            <b:First>Harris</b:First>
          </b:Person>
        </b:NameList>
      </b:Author>
    </b:Author>
    <b:Title>Prácticas Kaizen y mejora del rendimiento en empresas manufactureras de Zambia</b:Title>
    <b:JournalName>Ingeniería Cogent </b:JournalName>
    <b:Year>2023</b:Year>
    <b:Pages>123-145</b:Pages>
    <b:Volume>10</b:Volume>
    <b:Issue>1</b:Issue>
    <b:DOI>10.1080/23311916.2023.2183590</b:DOI>
    <b:RefOrder>16</b:RefOrder>
  </b:Source>
  <b:Source>
    <b:Tag>Her203</b:Tag>
    <b:SourceType>JournalArticle</b:SourceType>
    <b:Guid>{66158D64-DFA0-4989-857D-A57243126EB6}</b:Guid>
    <b:Author>
      <b:Author>
        <b:NameList>
          <b:Person>
            <b:Last>Herrmann</b:Last>
            <b:First>Christoph</b:First>
          </b:Person>
          <b:Person>
            <b:Last>Braunschweig</b:Last>
            <b:First>Germany</b:First>
          </b:Person>
          <b:Person>
            <b:Last>Kara</b:Last>
            <b:First>Sami</b:First>
          </b:Person>
          <b:Person>
            <b:Last>Sydney</b:Last>
            <b:First>Australia</b:First>
          </b:Person>
        </b:NameList>
      </b:Author>
    </b:Author>
    <b:Title>Implementación continua de Kaizen para mejorar la eficiencia: un estudio de caso de una línea de ensamblaje automotriz en India</b:Title>
    <b:JournalName>Series Editors</b:JournalName>
    <b:Year>2020</b:Year>
    <b:Pages>51–69</b:Pages>
    <b:Volume>11</b:Volume>
    <b:Issue>6</b:Issue>
    <b:URL>http://www.springer.com/series/10615</b:URL>
    <b:RefOrder>17</b:RefOrder>
  </b:Source>
  <b:Source>
    <b:Tag>Sil242</b:Tag>
    <b:SourceType>JournalArticle</b:SourceType>
    <b:Guid>{58B8C548-4341-45DA-85E9-9472469D36D6}</b:Guid>
    <b:Author>
      <b:Author>
        <b:NameList>
          <b:Person>
            <b:Last>Silva</b:Last>
            <b:First>Pedro</b:First>
          </b:Person>
          <b:Person>
            <b:Last>Mota</b:Last>
            <b:First>Sara</b:First>
          </b:Person>
          <b:Person>
            <b:Last>Soares</b:Last>
            <b:First>Miguel</b:First>
          </b:Person>
        </b:NameList>
      </b:Author>
    </b:Author>
    <b:Title>Implementación de Lean Kaizen: un estudio de caso en la industria minorista de alimentos</b:Title>
    <b:JournalName>Reactivación de empresas con nuevas estrategias de gestión del cambio organizacional</b:JournalName>
    <b:Year>2024</b:Year>
    <b:Pages>1-14</b:Pages>
    <b:Volume>4</b:Volume>
    <b:Issue>2</b:Issue>
    <b:DOI>10.4018/978-1-7998-7452-2.ch010</b:DOI>
    <b:RefOrder>18</b:RefOrder>
  </b:Source>
</b:Sources>
</file>

<file path=customXml/itemProps1.xml><?xml version="1.0" encoding="utf-8"?>
<ds:datastoreItem xmlns:ds="http://schemas.openxmlformats.org/officeDocument/2006/customXml" ds:itemID="{EE149BBC-5172-4FC7-8482-90E2815D8E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R.INVECOM VOL 6 NUM 1</Template>
  <TotalTime>3751</TotalTime>
  <Pages>12</Pages>
  <Words>6006</Words>
  <Characters>34239</Characters>
  <Application>Microsoft Office Word</Application>
  <DocSecurity>0</DocSecurity>
  <Lines>285</Lines>
  <Paragraphs>80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40165</CharactersWithSpaces>
  <SharedDoc>false</SharedDoc>
  <HLinks>
    <vt:vector size="72" baseType="variant">
      <vt:variant>
        <vt:i4>1376294</vt:i4>
      </vt:variant>
      <vt:variant>
        <vt:i4>33</vt:i4>
      </vt:variant>
      <vt:variant>
        <vt:i4>0</vt:i4>
      </vt:variant>
      <vt:variant>
        <vt:i4>5</vt:i4>
      </vt:variant>
      <vt:variant>
        <vt:lpwstr>mailto:corredelautorejemplo@ejemplo.com</vt:lpwstr>
      </vt:variant>
      <vt:variant>
        <vt:lpwstr/>
      </vt:variant>
      <vt:variant>
        <vt:i4>6291510</vt:i4>
      </vt:variant>
      <vt:variant>
        <vt:i4>30</vt:i4>
      </vt:variant>
      <vt:variant>
        <vt:i4>0</vt:i4>
      </vt:variant>
      <vt:variant>
        <vt:i4>5</vt:i4>
      </vt:variant>
      <vt:variant>
        <vt:lpwstr>https://orcid.ejemplo/1231251204123123</vt:lpwstr>
      </vt:variant>
      <vt:variant>
        <vt:lpwstr/>
      </vt:variant>
      <vt:variant>
        <vt:i4>1376294</vt:i4>
      </vt:variant>
      <vt:variant>
        <vt:i4>27</vt:i4>
      </vt:variant>
      <vt:variant>
        <vt:i4>0</vt:i4>
      </vt:variant>
      <vt:variant>
        <vt:i4>5</vt:i4>
      </vt:variant>
      <vt:variant>
        <vt:lpwstr>mailto:corredelautorejemplo@ejemplo.com</vt:lpwstr>
      </vt:variant>
      <vt:variant>
        <vt:lpwstr/>
      </vt:variant>
      <vt:variant>
        <vt:i4>6291510</vt:i4>
      </vt:variant>
      <vt:variant>
        <vt:i4>24</vt:i4>
      </vt:variant>
      <vt:variant>
        <vt:i4>0</vt:i4>
      </vt:variant>
      <vt:variant>
        <vt:i4>5</vt:i4>
      </vt:variant>
      <vt:variant>
        <vt:lpwstr>https://orcid.ejemplo/1231251204123123</vt:lpwstr>
      </vt:variant>
      <vt:variant>
        <vt:lpwstr/>
      </vt:variant>
      <vt:variant>
        <vt:i4>1376294</vt:i4>
      </vt:variant>
      <vt:variant>
        <vt:i4>21</vt:i4>
      </vt:variant>
      <vt:variant>
        <vt:i4>0</vt:i4>
      </vt:variant>
      <vt:variant>
        <vt:i4>5</vt:i4>
      </vt:variant>
      <vt:variant>
        <vt:lpwstr>mailto:corredelautorejemplo@ejemplo.com</vt:lpwstr>
      </vt:variant>
      <vt:variant>
        <vt:lpwstr/>
      </vt:variant>
      <vt:variant>
        <vt:i4>6291510</vt:i4>
      </vt:variant>
      <vt:variant>
        <vt:i4>18</vt:i4>
      </vt:variant>
      <vt:variant>
        <vt:i4>0</vt:i4>
      </vt:variant>
      <vt:variant>
        <vt:i4>5</vt:i4>
      </vt:variant>
      <vt:variant>
        <vt:lpwstr>https://orcid.ejemplo/1231251204123123</vt:lpwstr>
      </vt:variant>
      <vt:variant>
        <vt:lpwstr/>
      </vt:variant>
      <vt:variant>
        <vt:i4>1376294</vt:i4>
      </vt:variant>
      <vt:variant>
        <vt:i4>15</vt:i4>
      </vt:variant>
      <vt:variant>
        <vt:i4>0</vt:i4>
      </vt:variant>
      <vt:variant>
        <vt:i4>5</vt:i4>
      </vt:variant>
      <vt:variant>
        <vt:lpwstr>mailto:corredelautorejemplo@ejemplo.com</vt:lpwstr>
      </vt:variant>
      <vt:variant>
        <vt:lpwstr/>
      </vt:variant>
      <vt:variant>
        <vt:i4>6291510</vt:i4>
      </vt:variant>
      <vt:variant>
        <vt:i4>12</vt:i4>
      </vt:variant>
      <vt:variant>
        <vt:i4>0</vt:i4>
      </vt:variant>
      <vt:variant>
        <vt:i4>5</vt:i4>
      </vt:variant>
      <vt:variant>
        <vt:lpwstr>https://orcid.ejemplo/1231251204123123</vt:lpwstr>
      </vt:variant>
      <vt:variant>
        <vt:lpwstr/>
      </vt:variant>
      <vt:variant>
        <vt:i4>1376294</vt:i4>
      </vt:variant>
      <vt:variant>
        <vt:i4>9</vt:i4>
      </vt:variant>
      <vt:variant>
        <vt:i4>0</vt:i4>
      </vt:variant>
      <vt:variant>
        <vt:i4>5</vt:i4>
      </vt:variant>
      <vt:variant>
        <vt:lpwstr>mailto:corredelautorejemplo@ejemplo.com</vt:lpwstr>
      </vt:variant>
      <vt:variant>
        <vt:lpwstr/>
      </vt:variant>
      <vt:variant>
        <vt:i4>6291510</vt:i4>
      </vt:variant>
      <vt:variant>
        <vt:i4>6</vt:i4>
      </vt:variant>
      <vt:variant>
        <vt:i4>0</vt:i4>
      </vt:variant>
      <vt:variant>
        <vt:i4>5</vt:i4>
      </vt:variant>
      <vt:variant>
        <vt:lpwstr>https://orcid.ejemplo/1231251204123123</vt:lpwstr>
      </vt:variant>
      <vt:variant>
        <vt:lpwstr/>
      </vt:variant>
      <vt:variant>
        <vt:i4>1376294</vt:i4>
      </vt:variant>
      <vt:variant>
        <vt:i4>3</vt:i4>
      </vt:variant>
      <vt:variant>
        <vt:i4>0</vt:i4>
      </vt:variant>
      <vt:variant>
        <vt:i4>5</vt:i4>
      </vt:variant>
      <vt:variant>
        <vt:lpwstr>mailto:corredelautorejemplo@ejemplo.com</vt:lpwstr>
      </vt:variant>
      <vt:variant>
        <vt:lpwstr/>
      </vt:variant>
      <vt:variant>
        <vt:i4>6291510</vt:i4>
      </vt:variant>
      <vt:variant>
        <vt:i4>0</vt:i4>
      </vt:variant>
      <vt:variant>
        <vt:i4>0</vt:i4>
      </vt:variant>
      <vt:variant>
        <vt:i4>5</vt:i4>
      </vt:variant>
      <vt:variant>
        <vt:lpwstr>https://orcid.ejemplo/1231251204123123</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Dell</cp:lastModifiedBy>
  <cp:revision>1</cp:revision>
  <cp:lastPrinted>2025-08-04T22:55:00Z</cp:lastPrinted>
  <dcterms:created xsi:type="dcterms:W3CDTF">2025-08-04T22:57:00Z</dcterms:created>
  <dcterms:modified xsi:type="dcterms:W3CDTF">2025-09-17T17:40:00Z</dcterms:modified>
</cp:coreProperties>
</file>